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PE25.009902 vom 11. August 2025</w:t>
      </w:r>
    </w:p>
    <w:p>
      <w:r>
        <w:t>VD Tribunal cantonal, 2025-08-11, FR</w:t>
      </w:r>
    </w:p>
    <w:p>
      <w:r>
        <w:rPr>
          <w:b/>
        </w:rPr>
        <w:t xml:space="preserve">Quelle: </w:t>
      </w:r>
      <w:r>
        <w:t>https://mcp.opencaselaw.ch/entscheid/vd_gerichte_PE25.009902</w:t>
      </w:r>
    </w:p>
    <w:p>
      <w:r>
        <w:t>FR: VD_GERICHTE PE25.009902 du 11 août 2025</w:t>
      </w:r>
    </w:p>
    <w:p>
      <w:r>
        <w:t>IT: VD_GERICHTE PE25.009902 del 11 agosto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w:t>
      </w:r>
    </w:p>
    <w:p>
      <w:r>
        <w:t>- 4 - public et des autorités pénales compétentes en matière de contraventions. En particulier, une décision du Ministère public refusant d’ordonner une défense d’office peut faire l'objet d'un recours aux conditions des art. 393 ss CPP (Harari/ Corminboeuf Harari, in : Jeanneret et al. [éd.], Commentaire romand, Code de procédure pénale suisse [CR CPP], 2e éd.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une partie revêtant la qualité de prévenu qui a un intérêt juridique à l’annulation de l’ordonnance entreprise (art. 382 al. 1 CPP), le recours est recevable. Les pièces produites le sont également (art. 389 al. 3 CPP).</w:t>
      </w:r>
    </w:p>
    <w:p>
      <w:r>
        <w:rPr>
          <w:b/>
        </w:rPr>
        <w:t>E. 2.1</w:t>
      </w:r>
    </w:p>
    <w:p>
      <w:r>
        <w:t>Invoquant une violation de l’art. 132 CPP, le recourant fait valoir que c’est à tort que le Ministère public aurait retenu que l’assistance d’un défenseur d’office n’était pas justifiée pour sauvegarder ses intérêts. La cause – impliquant en particulier une perquisition suivie d’une procédure de mise sous scellés dans le contexte de l’importation de 9'338,9 grammes bruts de marijuana – présenterait des difficultés notables tant sur le plan objectif que subjectif, notamment au regard de son état psychique et du fait qu’il ne disposerait d’aucune formation juridique. Par ailleurs, une peine privative de liberté de plus de quatre mois ne saurait être exclue. Au demeurant, il serait indigent. Dès lors, les conditions d’une défense d’office seraient réunies. Il y aurait même lieu de se poser la question d’une défense obligatoire au sens de l’art. 130 CPP, au vu de la peine maximale prévue par l’art. 19 al. 1 let. b et g LStup (loi</w:t>
      </w:r>
    </w:p>
    <w:p>
      <w:r>
        <w:t>- 5 - fédérale sur les stupéfiants et les substances psychotropes du 3 octobre 1951 ; RS 812.121), à savoir trois ans.</w:t>
      </w:r>
    </w:p>
    <w:p>
      <w:r>
        <w:rPr>
          <w:b/>
        </w:rPr>
        <w:t>E. 2.2</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dehors des cas de défense obligatoire visés à l’art. 130 CPP, l’art. 132 al. 1 let. b CPP stipule que la direction de la procédure ordonne une défense d’office si le prévenu ne dispose pas des moyens nécessaires (indigence)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Les critères énoncés par l’art. 132 al. 1 let. b, 2 et 3 CPP reprennent largement la jurisprudence du Tribunal fédéral en matière d’assistance judiciaire, rendue sur la base des art. 29 al. 3 Cst. et 6 ch. 3</w:t>
      </w:r>
    </w:p>
    <w:p>
      <w:r>
        <w:t>- 6 -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 TF 6B_593/2023 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w:t>
      </w:r>
    </w:p>
    <w:p>
      <w:r>
        <w:t>- 7 - preuves qu’il devra offrir (TF 7B_839/2023 précité ; TF 7B_611/2023 du 20 décembre 2023 consid. 3.2.1). Quant à la condition de l'indigence, elle est réalisée si la personne concernée ne peut pas assumer les frais du procès sans entamer les moyens nécessaires à son entretien et à celui de sa famille. Il faut pour cela examiner la situation financière de la partie requérante dans son ensemble (charges,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Pour déterminer les charges d'entretien, il convient de se fonder sur le minimum vital du droit des poursuites – 1'350 fr. pour un débiteur monoparental –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Il incombe au requérant de prouver les faits qui permettent de constater qu'il remplit les conditions de la mesure qu'il sollicite (TF 7B_846/2023 du 9 janvier 2024 consid. 2.2 et les réf. cit.).</w:t>
      </w:r>
    </w:p>
    <w:p>
      <w:r>
        <w:rPr>
          <w:b/>
        </w:rPr>
        <w:t>E. 2.3</w:t>
      </w:r>
    </w:p>
    <w:p>
      <w:r>
        <w:t>En l’espèce, eu égard aux importantes quantités de stupéfiants dont il est question – à savoir 9'338,9 grammes de marijuana – la peine prévisible est supérieure à quatre mois. La cause n’est dès lors pas de peu de gravité. La Directive publique n° 1.5 du Ministère public sur</w:t>
      </w:r>
    </w:p>
    <w:p>
      <w:r>
        <w:t>- 8 - la fixation des peines et harmonisation des sanctions prévoit en effet qu’au-delà de 5 kg de marijuana, l’accusation est engagée devant le tribunal de police – ce qui implique potentiellement une peine supérieure à six mois – et que dès 10 kg de marijuana, l’accusation est en principe engagée devant le tribunal correctionnel, compétent pour les peines supérieures à douze mois. Il apparaît dès lors qu’on se trouve assez proche d’un cas impliquant une défense obligatoire au sens de l’art. 130 let. b CPP. Par ailleurs, les éléments médicaux soulevés par le recourant doivent – même s’ils ne suffisent pas, en l’état, à étayer un état psychique nécessitant une défense obligatoire au sens de l’art. 130 let. c CPP – être pris en considération dans le cadre de l’examen de la défense d’office. Contrairement à ce que retient le Ministère public, les faits de la cause ne sont pas exempts d’une certaine complexité et il n’apparaît pas que le prévenu soit en mesure de mener seul une procédure dont les conséquences sont importantes pour lui. La double condition de l’art. 132 al. 2 CPP étant par conséquent remplie, l’indigence du recourant doit être examinée. L’autorité précédente n’ayant pas instruit cette question, l’ordonnance querellée doit être annulée et le dossier de la cause renvoyé au Ministère public pour qu’il examine cet aspect, puis rende une nouvelle décision.</w:t>
      </w:r>
    </w:p>
    <w:p>
      <w:r>
        <w:rPr>
          <w:b/>
        </w:rPr>
        <w:t>E. 3</w:t>
      </w:r>
    </w:p>
    <w:p>
      <w:r>
        <w:t>En définitive, le recours doit être admis, l’ordonnance querellée annulée et le dossier de la cause renvoyé au Ministère public cantonal Strada pour qu’il procède dans le sens des considérants. Vu le sort du recours, les frais de la procédure, constitués de l’émolument d’arrêt, par 880 fr. (art. 20 al. 1 TFIP),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à la charge de l’Etat (art. 436 al. 3 CPP ; TF 6B_1004/2015 du 5 mai 2016 consid. 1.3 ; Jositsch/Schmid, Schweizerische Strafprozessordnung, Praxis-kommentar, 4e éd. 2023, n. 4 ad art. 436</w:t>
      </w:r>
    </w:p>
    <w:p>
      <w:r>
        <w:t>- 9 - CPP). Au vu du mémoire produit et de la nature de la cause, cette indemnité sera fixée à 900 fr., sur la base d’une activité nécessaire d’avocat de 3 heures au tarif horaire de 300 fr., montant auquel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74 fr. 35, soit à 993 fr. au total, en chiffres arrondis. Par ces motifs, la Chambre des recours pénale prononce : I. Le recours est admis. II. L’ordonnance du 19 juin 2025 est annulée. III. Le dossier de la cause est renvoyé au Ministère public cantonal Strada pour qu’il procède dans le sens des considérants. IV. Les frais d’arrêt, par 880 fr. (huit cent huitante francs), sont laissés à la charge de l’Etat. V. Une indemnité de 993 fr. (neuf cent nonante-trois francs) est allouée à X.________ pour la procédure de recours, à la charge de l'Etat. VI. L’arrêt est exécutoire. La vice-présidente : La greffière :</w:t>
      </w:r>
    </w:p>
    <w:p>
      <w:r>
        <w:t>- 10 - Du Le présent arrêt, dont la rédaction a été approuvée à huis clos, est notifié, par l'envoi d'une copie complète, à : - Me Rachel Carvagna-Debluë, avocate (pour X.________),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