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PE25.009646 vom 3. März 2026</w:t>
      </w:r>
    </w:p>
    <w:p>
      <w:r>
        <w:t>VD Tribunal cantonal, 2026-03-03, FR</w:t>
      </w:r>
    </w:p>
    <w:p>
      <w:r>
        <w:rPr>
          <w:b/>
        </w:rPr>
        <w:t xml:space="preserve">Quelle: </w:t>
      </w:r>
      <w:r>
        <w:t>https://mcp.opencaselaw.ch/entscheid/vd_gerichte_PE25.009646</w:t>
      </w:r>
    </w:p>
    <w:p>
      <w:r>
        <w:t>FR: VD_GERICHTE PE25.009646 du 3 mars 2026</w:t>
      </w:r>
    </w:p>
    <w:p>
      <w:r>
        <w:t>IT: VD_GERICHTE PE25.009646 del 3 marzo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12J010</w:t>
      </w:r>
    </w:p>
    <w:p>
      <w:r>
        <w:t>- 3 - recours pénale du Tribunal cantonal (art. 13 LVCPP [loi d’introduction du Code de procédure pénale suisse du 19 mai 2009 ; BLV 312.01] ; art. 80 LOJV).</w:t>
      </w:r>
    </w:p>
    <w:p>
      <w:r>
        <w:rPr>
          <w:b/>
        </w:rPr>
        <w:t>E. 1.2</w:t>
      </w:r>
    </w:p>
    <w:p>
      <w:r>
        <w:t>Interjeté en temps utile devant l’autorité compétente par la partie plaignante qui a qualité pour recourir (art. 382 al. 1 CPP) et satisfaisant aux conditions de forme prescrites (art. 385 al. 1 CPP), le recours est recevable.</w:t>
      </w:r>
    </w:p>
    <w:p>
      <w:r>
        <w:rPr>
          <w:b/>
        </w:rPr>
        <w:t>E. 2</w:t>
      </w:r>
    </w:p>
    <w:p>
      <w:r>
        <w:t>Le recourant invoque une violation du principe in dubio pro duriore. A cet égard, il se prévaut de l’arrêt du Tribunal fédéral 6B_434/2018 du 12 septembre 2018, dont il ressortirait qu’un entrepreneur qui utilise des sommes d’argent reçue dans le cadre d’un chantier pour régler des factures ouvertes sur d’autres chantiers ou pour ses besoins privés, au lieu de payer les sous-traitants conformément au contrat d’entreprise, se rendrait coupable d‘abus de confiance. Il en conclut que le Ministère public aurait dû ouvrir une instruction pénale afin d’établir l’affectation des fonds que C.________ aurait perçus du maître de l’ouvrage, F.________ SA, et de déterminer ainsi si le litige présente également une dimension pénale, compte tenu du comportement illicite allégué, à savoir une utilisation des fonds contraire à leur destination contractuelle.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12J010</w:t>
      </w:r>
    </w:p>
    <w:p>
      <w:r>
        <w:t>- 4 -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(TF 7B_153/2022 du 20 juillet 2023 consid. 3.5 et les références citées).</w:t>
      </w:r>
    </w:p>
    <w:p>
      <w:r>
        <w:rPr>
          <w:b/>
        </w:rPr>
        <w:t>E. 2.2</w:t>
      </w:r>
    </w:p>
    <w:p>
      <w:r>
        <w:t>Commet un abus de confiance au sens de l’art. 138 ch. 1 CP (Code pénal suisse du 21 décembre 1937 ; RS 311.0) quiconque, pour se procurer ou procurer à un tiers un enrichissement illégitime, s’approprie une chose mobilière appartenant à autrui et qui lui a été confiée (al. 1) et quiconque, sans droit, emploie à son profit ou au profit d’un tiers des valeurs patrimoniales qui lui ont été confiées (al. 2). Sur le plan objectif, cette infraction suppose qu'une valeur ait été confiée, autrement dit que l'auteur ait acquis la possibilité d'en disposer, mais que, conformément à un accord (exprès ou tacite) ou un autre rapport 12J010</w:t>
      </w:r>
    </w:p>
    <w:p>
      <w:r>
        <w:t>- 5 -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L’art. 138 ch. 1 al. 2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 21 consid. 6.2 ; PC CP, 2e éd. 2017, n. 28 ad art. 138 CP, et les réf. citées). Il ne saurait être question de valeurs patrimoniales confiées, lorsque l’auteur les reçoit pour lui-même et non dans l’optique d’en conserver la contre-valeur pour le compte d’autrui (Dupuis et al. [éd.], Petit commentaire, Code pénal, 2e éd., Bâle 2017, n. 31 ad art. 138 CP et les références citées).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12J010</w:t>
      </w:r>
    </w:p>
    <w:p>
      <w:r>
        <w:t>- 6 -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3a ; Dupuis et al. [éd.], op. cit., n. 46 ad art. 138 et les références citées). Selon la jurisprudence, un entrepreneur qui affecte des montants reçus pour régler des factures ouvertes sur d’autres chantiers ou pour ses besoins privés, plutôt que de payer les sous-traitants conformément au contrat d’entreprise, commet un abus de confiance (TF 6B_434/2018 du 12 septembre 2018).</w:t>
      </w:r>
    </w:p>
    <w:p>
      <w:r>
        <w:rPr>
          <w:b/>
        </w:rPr>
        <w:t>E. 3</w:t>
      </w:r>
    </w:p>
    <w:p>
      <w:r>
        <w:t>En l’espèce, même si le dossier ne contient pas le contrat d’entreprise conclu entre F.________ SA et la société D.________ Sàrl, on ne saurait d’emblée nier l’existence d’une telle relation contractuelle, ni celle d’un accord de sous-traitance avec le recourant. A cet égard, la mise en demeure adressée par ce dernier à la société précitée mentionne plusieurs factures prétendument impayées (cf. P 4/2), de sorte qu’il ne peut être exclu, en l’état, que le recourant ait effectivement réalisé des travaux de sous-traitance en lien avec le contrat qu’il allègue. A ce stade, il n’est pas possible d’affirmer d’emblée que le litige divisant les parties serait purement civil, l’infraction d’abus de confiance ne pouvant être écartée au vu de la jurisprudence invoquée par le recourant (TF 6B_434/2018 précité). Il y a dès lors lieu, pour le Ministère public, de procéder aux investigations nécessaires, en particulier afin d’établir si le recourant et D.________ Sàrl étaient liés par un contrat de sous-traitance, si les montants versés par F.________ SA à cette société étaient destinés au recourant et, le cas échéant, de déterminer l’usage qui en a été fait par C.________. 12J010</w:t>
      </w:r>
    </w:p>
    <w:p>
      <w:r>
        <w:t>- 7 -</w:t>
      </w:r>
    </w:p>
    <w:p>
      <w:r>
        <w:rPr>
          <w:b/>
        </w:rPr>
        <w:t>E. 4</w:t>
      </w:r>
    </w:p>
    <w:p>
      <w:r>
        <w:t>Au vu de ce qui précède, le recours doit être admis, l’ordonnance entreprise annulée et le dossier de la cause renvoyé au Ministère public pour qu’il procède dans le sens des considérants. Les frais de la procédure de recours, constitués du seul émolument d’arrêt (art. 422 al. 1 CPP), par 770 fr. (art. 20 al. 1 TFIP [tarif des frais de procédure et indemnités en matière pénale du 28 septembre 2010 ; BLV 312.03.1]), seront laissés à la charge de l’Etat (art. 423 al. 1 CPP). Le montant de 770 fr. versé par le recourant à titre de sûretés lui sera restitué (art. 7 TFIP). Le recourant, qui obtient gain de cause et qui a procédé avec l’assistance d’un avocat de choix, a droit à une indemnité pour les dépenses occasionnées par l’exercice raisonnable de ses droits pour la procédure de recours (art. 429 al. 1 let. a CPP, applicable par renvoi de l’art. 436 al. 1 CPP), à la charge de l’Etat. Au vu du mémoire de recours déposé, ainsi que de la nature de l’affaire, cette indemnité sera fixée à 600 fr., correspondant à 2h00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al. 6 TFIP), par 12 fr., plus la TVA au taux de 8,1 %, par 49 fr. 55, soit à 662 fr. au total en chiffres arrondis. 12J010</w:t>
      </w:r>
    </w:p>
    <w:p>
      <w:r>
        <w:t>- 8 - Par ces motifs, la Chambre des recours pénale prononce : I. Le recours est admis. II. L’ordonnance du 30 juin 2025 est annulée. III. Le dossier de la cause est renvoyé au Ministère public de l’arrondissement de Lausanne pour qu’il procède dans le sens des considérants. IV. Les frais d’arrêt, par 770 fr. (sept cent septante francs), sont laissés à la charge de l’Etat. V. Le montant de 770 fr. (sept cent septante francs) versé par E.________ à titre de sûretés lui est restitué. VI. Une indemnité de 662 fr. (six cent soixante-deux francs) est allouée à E.________ pour la procédure de recours, à la charge de l’Etat. VII. L’arrêt est exécutoire. La présidente : Le greffier : Du Le présent arrêt, dont la rédaction a été approuvée à huis clos, est notifié, par l'envoi d'une copie complète, à : - Me Yvan Henzer, avocat (pour E.________), - Ministère public central, et communiqué à : - M. le Procureur de l’arrondissement de Lausanne, par l’envoi de photocopies. 12J010</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