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PE25.009635 vom 21. Oktober 2025</w:t>
      </w:r>
    </w:p>
    <w:p>
      <w:r>
        <w:t>VD Tribunal cantonal, 2025-10-21, FR</w:t>
      </w:r>
    </w:p>
    <w:p>
      <w:r>
        <w:rPr>
          <w:b/>
        </w:rPr>
        <w:t xml:space="preserve">Quelle: </w:t>
      </w:r>
      <w:r>
        <w:t>https://mcp.opencaselaw.ch/entscheid/vd_gerichte_PE25.009635</w:t>
      </w:r>
    </w:p>
    <w:p>
      <w:r>
        <w:t>FR: VD_GERICHTE PE25.009635 du 21 octobre 2025</w:t>
      </w:r>
    </w:p>
    <w:p>
      <w:r>
        <w:t>IT: VD_GERICHTE PE25.009635 del 21 ottobre 2025</w:t>
      </w:r>
    </w:p>
    <w:p>
      <w:pPr>
        <w:pStyle w:val="Heading2"/>
      </w:pPr>
      <w:r>
        <w:t>Erwägungen</w:t>
      </w:r>
    </w:p>
    <w:p>
      <w:r>
        <w:rPr>
          <w:b/>
        </w:rPr>
        <w:t>E. 1</w:t>
      </w:r>
    </w:p>
    <w:p>
      <w:r>
        <w:t>CPP, qui interdit la prolongation des délais fixés par la loi et n’autorise pas la partie à compléter un acte dépourvu de motivation (TF 7B_11/2024 précité consid. 3.2 ; TF 7B_51/2024 du 25 avril 2024 consid. 2.2.2 ; TF 6B_1447/2022 du 14 mars 2023 consid. 1.1).</w:t>
      </w:r>
    </w:p>
    <w:p>
      <w:r>
        <w:rPr>
          <w:b/>
        </w:rPr>
        <w:t>E. 1.1</w:t>
      </w:r>
    </w:p>
    <w:p>
      <w:r>
        <w:t>Les parties peuvent attaquer une ordonnance de non-entrée en matière rendue par le Ministère public en application de l’art. 310 CPP (Code de procédure pénale suisse du 5 octobre 2007 ; RS 312.0) dans un délai de dix jours dès la notification de la décision attaquée (art. 384 let. b CPP), à l’autorité de recours (art. 396 al. 1 CPP) qui est, dans le canton de</w:t>
      </w:r>
    </w:p>
    <w:p>
      <w:r>
        <w:t>- 4 - Vaud, la Chambre des recours pénale du Tribunal cantonal (art. 13 LVCPP [loi vaudoise du 19 mai 2009 d'introduction du Code de procédure pénale suisse ; BLV 312.01] ; art. 80 LOJV [loi vaudoise d'organisation judiciaire du 12 décembre 1979 ; BLV 173.01]). 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w:t>
      </w:r>
    </w:p>
    <w:p>
      <w:r>
        <w:t>- 5 -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w:t>
      </w:r>
    </w:p>
    <w:p>
      <w:r>
        <w:rPr>
          <w:b/>
        </w:rPr>
        <w:t>E. 1.3</w:t>
      </w:r>
    </w:p>
    <w:p>
      <w:r>
        <w:t>En l’espèce, à supposer que les courriels du 21 juillet 2025 constituent un acte de recours, celui-ci n’est pas conforme aux exigences de forme imposées par la loi de procédure. En effet, aux termes de l’art. 110 al. 1 CPP, les parties peuvent déposer une requête écrite ou orale, les requêtes orales étant consignées au procès-verbal. Les requêtes écrites doivent être datées et signées. La transmission des requêtes, des recours et des annexes peut se faire par voie électronique, mais à certaines conditions de forme prévues à l’art. 110 al. 2 CPP, ainsi que par l’Ordonnance sur la communication électronique dans le cadre de procédures civiles et pénales et de procédures en matière de poursuite pour dettes et de faillite (OCEI-PCPP ; RS 272.1). Il faut en particulier que les parties qui désirent transmettre leur mémoire par voie électronique s’enregistrent sur une plateforme de distribution reconnue, transmettent leur mémoire ou leur requête sous un certain format et que les documents</w:t>
      </w:r>
    </w:p>
    <w:p>
      <w:r>
        <w:t>- 6 - à signer soient certifiés par une signature électronique (ATF 145 IV 190 consid. 1.3.2). Quand la loi fait référence à la forme écrite, elle suppose le respect des exigences posées à l’art. 14 al. 1 CO (Code des obligations du 30 mars 1911 ; RS 220), à savoir celle d’une signature écrite à la main par la personne intéressée. C’est la raison pour laquelle, d’après la jurisprudence constante du Tribunal fédéral, les actes – dont le recours au sens des art. 393 ss CPP – transmis par télécopie, par courriel ou SMS ne respectent pas la forme écrite (ATF 142 IV 299 consid. 1.1 et les références citées ; Guidon, in : Niggli/Heer/Wiprächtiger [éd.], Basler Kommentar, Schweizerische Strafprozessordnung, Jugendstrafprozessordnung [ci-après : BSK], t. II, 3e éd. 2023, n. 12 ad art. 396 StPO et les références citées). Dans ce cas, l’autorité n’a pas l’obligation de fixer un délai à la personne qui a envoyé la télécopie, le courriel ou le SMS aux fins qu’elle remédie à l’absence de forme écrite ; le fait de ne pas entrer en matière sur un acte qui ne respecte pas la forme écrite lorsque la règle de procédure impose cette forme n’est pas constitutif de formalisme excessif (ATF 142 IV 299 précité consid. 1.3 ; TF 4D_30/2020 du 1er octobre 2020 consid. 4 ; Hafner/Gachnang, in : BSK, op. cit., nn. 9 et 11 ad art. 110 StPO et les références citées ; Moreillon/Parein Reymond, Petit Commentaire du Code de procédure pénale, 3e éd., Bâle 2025, n. 4 ad art. 110 CPP et les références citées). Au demeurant, les motifs avancés par le recourant dans son premier courriel du 21 juillet 2025 se limitent à l’énonciation des deux phrases suivantes : « Il n’y aucun argument concret dans votre réponse, c’est simplement un énième déni de justice par l’administration vaudoise. Les éléments pénaux sont dans la plainte pénale, vous les ignorez à dessein pour couvrir les collègues de l’administration vaudoise, pratique connue désormais ». Or, le recours s’exerce par le dépôt d’un mémoire dûment motivé (cf. art. 385 al. 1 et 396 al. 1 CPP). Le recourant se borne à invoquer un prétendu déni de justice sans le motiver ou le démontrer d’aucune manière et il renvoie pour le surplus au contenu de sa plainte pénale, sans tenter de montrer que le fondement de l’ordonnance, selon</w:t>
      </w:r>
    </w:p>
    <w:p>
      <w:r>
        <w:t>- 7 - laquelle les reproches qu’il formule à l’encontre de certains collaborateurs de l’Administration cantonale des impôts ou de dirigeants de son ancien employeur sont dépourvus de portée pénale, car ne réalisant pas les éléments objectifs et subjectifs d’infractions, serait injustifié. Il résulte de ce qui précède que le recours est irrecevable tant en raison de sa forme que de l’insuffisance de ses motifs.</w:t>
      </w:r>
    </w:p>
    <w:p>
      <w:r>
        <w:rPr>
          <w:b/>
        </w:rPr>
        <w:t>E. 2</w:t>
      </w:r>
    </w:p>
    <w:p>
      <w:r>
        <w:t>En définitive,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(art. 428 al. 1 CPP). Par ces motifs, la Chambre des recours pénale prononce : I. Le recours est irrecevable. II. Les frais d’arrêt, par 770 fr. (sept cent septante francs), sont mis à la charge de O.________. III. L’arrêt est exécutoire. Le président : Le greffier :</w:t>
      </w:r>
    </w:p>
    <w:p>
      <w:r>
        <w:t>- 8 - Du Le présent arrêt,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