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PE25.009529 vom 28. Juli 2025</w:t>
      </w:r>
    </w:p>
    <w:p>
      <w:r>
        <w:t>VD Tribunal cantonal, 2025-07-28, FR</w:t>
      </w:r>
    </w:p>
    <w:p>
      <w:r>
        <w:rPr>
          <w:b/>
        </w:rPr>
        <w:t xml:space="preserve">Quelle: </w:t>
      </w:r>
      <w:r>
        <w:t>https://mcp.opencaselaw.ch/entscheid/vd_gerichte_PE25.009529</w:t>
      </w:r>
    </w:p>
    <w:p>
      <w:r>
        <w:t>FR: VD_GERICHTE PE25.009529 du 28 juillet 2025</w:t>
      </w:r>
    </w:p>
    <w:p>
      <w:r>
        <w:t>IT: VD_GERICHTE PE25.009529 del 28 luglio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par le plaignant, dans le délai légal, auprès de l’autorité compétente et dans les formes prescrites (art. 385 al. 1 CPP), de sorte qu’il est recevable.</w:t>
      </w:r>
    </w:p>
    <w:p>
      <w:r>
        <w:rPr>
          <w:b/>
        </w:rPr>
        <w:t>E. 2</w:t>
      </w:r>
    </w:p>
    <w:p>
      <w:r>
        <w:t>Conformément à l'art. 310 al. 1 let. a CPP, le Ministère public rend immédiatement une ordonnance de non-entrée en matière s'il ressort de la dénonciation que les éléments constitutifs de l'infraction ou les conditions à l'ouverture de l'action pénale ne sont manifestement pas réunis. Cette disposition doit être appliquée dans le respect de l'adage « in</w:t>
      </w:r>
    </w:p>
    <w:p>
      <w:r>
        <w:t>- 4 -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 TF 7B_115/2023 du 12 juillet 2024 consid. 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consid. 3.2.1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consid. 3.2.1 ; TF 7B_5/2022 précité</w:t>
      </w:r>
    </w:p>
    <w:p>
      <w:r>
        <w:t>- 5 - consid. 4.1; TF 6B_1148/2021 précité consid. 3.1 ; TF 6B_790/2022 du 15 juin 2023 consid. 4.2.2; TF 6B_996/2021 du 31 mai 2022 consid. 3.2).</w:t>
      </w:r>
    </w:p>
    <w:p>
      <w:r>
        <w:rPr>
          <w:b/>
        </w:rPr>
        <w:t>E. 3.1</w:t>
      </w:r>
    </w:p>
    <w:p>
      <w:r>
        <w:t>Le recourant conteste la non-entrée en matière tant pour ce qui est de l’infraction d’abus de confiance que de celle d’appropriation illégitime.</w:t>
      </w:r>
    </w:p>
    <w:p>
      <w:r>
        <w:rPr>
          <w:b/>
        </w:rPr>
        <w:t>E. 3.2.1</w:t>
      </w:r>
    </w:p>
    <w:p>
      <w:r>
        <w:t>Aux termes de l’art. 137 ch. 1 CP, dans sa teneur dès le 1er juillet 2023,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CP ne sont pas réalisées.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ATF 118 IV 148 consid. 2a ; TF 6B_70/2016 du 2 juin 2016 consid. 3.3.2).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D’après la jurisprudence, la notion d’appartenance à autrui renvoie au droit de propriété défini par le droit privé (art. 641 ss CC [Code civil ; RS 210] ; ATF 132 IV 5 consid. 3.3 ; ATF 122 IV 179 consid. 3c/aa, JdT 1997 IV 135 ; ATF 88 IV 15 consid. 4, JdT 1962 IV 75). Il y a par conséquent appartenance à autrui lorsqu’une</w:t>
      </w:r>
    </w:p>
    <w:p>
      <w:r>
        <w:t>- 6 - personne autre que l’auteur exerce un droit de propriété sur une chose donnée (ATF 142 IV 102 consid. 2 ; ATF 115 IV 105 consid. 1b, JdT 1990 IV 139). En cas de propriété commune ou de copropriété, la chose est également la chose d’autrui au sens des art. 137 ss CP pour les propriétaires en commun ou pour les copropriétaires (Dupuis/Moreillon/ Piguet/Berger/Mazou/Rodigari [éd.], Petit commentaire CP, 2e éd., Bâle 2017, nn. 14 et 15 ad remarques préliminaires aux art. 137 ss et les références citées).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w:t>
      </w:r>
    </w:p>
    <w:p>
      <w:r>
        <w:rPr>
          <w:b/>
        </w:rPr>
        <w:t>E. 3.2.2</w:t>
      </w:r>
    </w:p>
    <w:p>
      <w:r>
        <w:t>Selon l’art. 138 ch. 1 CP, se rend coupable d’abus de confiance et est puni d’une peine privative de liberté de cinq ans au plus ou d’une peine pécuniaire, quiconque, pour se procurer ou procurer à un tiers un enrichissement illégitime, s’approprie une chose mobilière appartenant à autrui et qui lui a été confiée (al. 1), ou quiconque, sans droit, emploie à son profit ou au profit d’un tiers des valeurs patrimoniales qui lui ont été confiées (al. 2). Sur le plan objectif, cette infraction suppose qu'une chose mobilière ou 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op. cit., n. 4 ad art. 138 CP). Le comportement délictueux consiste à utiliser la chose mobilière ou la valeur patrimoniale contrairement aux instructions reçues, en s'écartant de la destination fixée (ATF 129 IV 257 consid. 2.2.1 et les réf. citées). L'alinéa 2 de l'art. 138 ch. 1 CP ne protège pas la propriété, mais le droit de celui qui a confié la valeur patrimoniale à ce que celle-ci soit utilisée</w:t>
      </w:r>
    </w:p>
    <w:p>
      <w:r>
        <w:t>- 7 -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consid. 2.2.1 ; ATF 121 IV 23 consid. 1c ; TF 6B_1017/2022-6B_1029/2022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 TF 6B_1443/2021 du 13 février 2023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w:t>
      </w:r>
    </w:p>
    <w:p>
      <w:r>
        <w:rPr>
          <w:b/>
        </w:rPr>
        <w:t>E. 4</w:t>
      </w:r>
    </w:p>
    <w:p>
      <w:r>
        <w:t>En l’espèce, la Procureure a considéré que le fils du plaignant ne pouvait pas avoir agi en ayant été mû par un dessein dolosif. Cette appréciation repose sur le fait interne que celui-ci ne considérait pas le projecteur et les bobines comme appartenant à son père. La magistrate s’est fondée sur un bref courriel, à savoir le message WhatsApp du 9 octobre 2024, dont la capture d’écran a été produite à l’appui de la plainte (P. 4/3, déjà mentionnée). Or, quand bien même cette interprétation est plausible, elle ne paraît pas manifestement plus vraisemblable que la version soutenue par le plaignant. A tout le moins, faute d’entrée en matière et de toute mesure d’instruction, s’agissant singulièrement de</w:t>
      </w:r>
    </w:p>
    <w:p>
      <w:r>
        <w:t>- 8 - l’audition du fils du plaignant, il semble difficilement soutenable de considérer d’emblée que l’élément objectif de l’infraction visée par l’art. 137 CP – à savoir que le détenteur dispose des choses mobilières comme propriétaire, sans pour autant en avoir la qualité – n’est pas réalisée. Au demeurant, le message WhatsApp de refus de [...], dont se prévaut le recourant, est produit de manière isolée, en sorte qu’en dépit de la date du 9 octobre 2024 figurant sur la capture d’écran, on ignore s’il s’agit effectivement de la réponse au courrier rédigé en italien par le recourant, lequel est non daté. On ignore même si [...] admet être en possession du projecteur et des bobines revendiquées par son père ou si le matériel se trouve dans le garage dont la clé a été remise au plaignant. Les éléments subjectifs de chacune des infractions en cause, à savoir l’intention dolosive et le dessein d’enrichissement illégitime, n’ont pas été discutés plus avant par le Ministère public. Faute de tout moyen de preuve à ce sujet qui figurerait au dossier, ces infractions ne sauraient être exclues d’emblée, en dépit du conflit familial patent et du reste expressément admis par le plaignant (P. 4/1, ch. 2). La Procureure devait ainsi instruire davantage la cause pour pouvoir rendre une décision. En l’état, sans entendre [...], voire les tiers dont le plaignant requiert l’audition, il n’est pas possible d’exclure tout doute quant à l’existence d’une infraction. En définitive, il appartiendra au Ministère public d’instruire la cause comme évoqué ci-dessus et de procéder à toute autre mesure d’instruction qu’il estimera utile au fil des renseignements recueillis.</w:t>
      </w:r>
    </w:p>
    <w:p>
      <w:r>
        <w:rPr>
          <w:b/>
        </w:rPr>
        <w:t>E. 5</w:t>
      </w:r>
    </w:p>
    <w:p>
      <w:r>
        <w:t>En définitive, le recours doit être admis et l’ordonnance attaquée annulée. Le dossier de la cause sera renvoyé au Ministère public pour qu’il procède dans le sens des considérants qui précèdent. Les frais de procédure, constitués en l’espèce du seul émolument d’arrêt, par 880 fr. (art. 20 al. 1 TFIP [tarif des frais de procédure et indemnités en matière pénale du 28 septembre 2010 ; BLV</w:t>
      </w:r>
    </w:p>
    <w:p>
      <w:r>
        <w:t>- 9 - 312.03.1]), seront laissés à la charge de l’Etat (art. 428 al. 4 CPP). Le montant de 770 fr. déjà versé par le recourant à titre de sûretés lui sera restitué (art. 383 al. 1 CPP ; art. 7 TFIP). Le recourant, qui obtient gain de cause, a procédé sans l’assistance d’un mandataire professionnel, de sorte qu’il n’a pas droit à l’octroi d’une indemnité ; il ne requiert du reste pas de dépens. Par ces motifs, la Chambre des recours pénale prononce : I. Le recours est admis. II. L’ordonnance du 19 mai 2025 est annulée. III. Le dossier de la cause est renvoyé au Ministère public de l’arrondissement de Lausanne pour qu’il procède dans le sens des considérants. IV. Les frais d’arrêt, par 880 fr. (huit cent huitante francs), sont laissés à la charge de l’Etat. V. L’avance de frais de 770 fr. (sept cent septante francs) versée par N.________ à titre de sûretés lui est restituée. VI. L’arrêt est exécutoire. Le président : Le greffier : Du Le présent arrêt, dont la rédaction a été approuvée à huis clos, est notifié, par l'envoi d'une copie complète, à : - M. N.________, - Ministère public central,</w:t>
      </w:r>
    </w:p>
    <w:p>
      <w:r>
        <w:t>- 10 -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