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PE25.008998 vom 26. Februar 2026</w:t>
      </w:r>
    </w:p>
    <w:p>
      <w:r>
        <w:t>VD Tribunal cantonal, 2026-02-26, FR</w:t>
      </w:r>
    </w:p>
    <w:p>
      <w:r>
        <w:rPr>
          <w:b/>
        </w:rPr>
        <w:t xml:space="preserve">Quelle: </w:t>
      </w:r>
      <w:r>
        <w:t>https://mcp.opencaselaw.ch/entscheid/vd_gerichte_PE25.008998</w:t>
      </w:r>
    </w:p>
    <w:p>
      <w:r>
        <w:t>FR: VD_GERICHTE PE25.008998 du 26 février 2026</w:t>
      </w:r>
    </w:p>
    <w:p>
      <w:r>
        <w:t>IT: VD_GERICHTE PE25.008998 del 26 febbraio 2026</w:t>
      </w:r>
    </w:p>
    <w:p>
      <w:pPr>
        <w:pStyle w:val="Heading2"/>
      </w:pPr>
      <w:r>
        <w:t>Erwägungen</w:t>
      </w:r>
    </w:p>
    <w:p>
      <w:r>
        <w:rPr>
          <w:b/>
        </w:rPr>
        <w:t>E. 1.1</w:t>
      </w:r>
    </w:p>
    <w:p>
      <w:r>
        <w:t>Selon l'art. 393 al. 1 let. b CPP, le recours est recevable contre les ordonnances, les décisions et les actes de procédure des tribunaux de première instance, sauf contre ceux de la direction de la procédure (« ausgenommen sind verfahrensleitende Entscheide », « sono eccettuate 12J010</w:t>
      </w:r>
    </w:p>
    <w:p>
      <w:r>
        <w:t>- 5 - le decisioni ordinatorie »). Il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Cette disposition doit être lue en corrélation avec l'art. 65 al. 1 CPP, aux termes duquel les ordonnances rendues par les tribunaux (« Verfahrensleitende Anordnungen der Gerichte », « Le disposizioni ordinatorie del giudice ») ne peuvent être attaquées qu'avec la décision finale. Les décisions contre lesquelles un recours immédiat est exclu en vertu des art. 65 al. 1 et 393 al. 1 let. b in fine CPP concernent, malgré la formulation trompeuse de la version française, non pas celles prises par la direction de la procédure, mais celles relatives à la marche de la procédure. Il s'agit en particulier de toutes les décisions qu'exigent l'avancement et le déroulement de la procédure avant ou pendant les débats (ATF 143 III 175 consid. 2.2 ; ATF 140 IV 202 consid. 2.1 ; TF 1B_46/2023 du 7 mars 2023 consid. 2.1). Selon la jurisprudence, ces décisions peuvent toutefois faire l’objet d’un recours selon le CPP lorsqu’elles sont susceptibles de causer un préjudice irréparable (ATF 140 IV 202 consid. 2.1 in fine, JdT 2015 I 73 ; CREP 27 septembre 2025/734 consid. 1.1).</w:t>
      </w:r>
    </w:p>
    <w:p>
      <w:r>
        <w:rPr>
          <w:b/>
        </w:rPr>
        <w:t>E. 1.2</w:t>
      </w:r>
    </w:p>
    <w:p>
      <w:r>
        <w:t>En l’espèce, la décision entreprise a été rendue par le Président du Tribunal de police en sa qualité de direction de la procédure. Elle autorise C.________ à se voir communiquer le jugement rendu le 2 décembre 2025, ainsi qu’à consulter l’entier du dossier pénal. Elle a pour conséquence de rendre accessibles à un tiers des éléments du dossier susceptibles de concerner la sphère privée du recourant. Elle est ainsi susceptible de lui causer un préjudice irréparable et peut donc faire l’objet d’un recours immédiat auprès de la Chambre des recours pénale. Il s’ensuit que le recours, interjeté en temps utile devant l’autorité compétente, par le prévenu qui a qualité pour recourir (art. 382 al. 1 CPP) et dans les formes prescrites (art. 385 al. 1 CPP), est recevable. Il en va de même des pièces 12J010</w:t>
      </w:r>
    </w:p>
    <w:p>
      <w:r>
        <w:t>- 6 - nouvelles produites (art. 389 al. 3 CPP ; TF 1B_550/2022 du 17 novembre 2022 consid. 2.1).</w:t>
      </w:r>
    </w:p>
    <w:p>
      <w:r>
        <w:rPr>
          <w:b/>
        </w:rPr>
        <w:t>E. 2</w:t>
      </w:r>
    </w:p>
    <w:p>
      <w:r>
        <w:t>décembre 2025 par le Tribunal de police, ainsi que sur la consultation du dossier. La profession du recourant, […], relève des catégories visées par la Directive n° 2.8 du Procureur général, qui impose une communication des décisions à l’autorité de surveillance, soit, en l’espèce, C.________. Bien que le contrat de travail du recourant ait été résilié le 2 décembre 2025 par F.________, moyennant un « délai de trois mois pour la fin d’un mois », cette résiliation n’était pas encore effective à la date de la décision querellée, rendue simultanément, la fin des rapports de service n’intervenant que le 31 mars 2026. Le recourant, certes en arrêt de travail et en reconversion professionnelle, demeure ainsi soumis à l’autorité de surveillance, à tout le moins jusqu’à ce terme. Il convient également de relever que toutes les infractions pénales sont visées par la Directive n° 2.8, le recourant étant au demeurant suspecté, en l’espèce, d’avoir profité de sa position professionnelle pour déposer une plainte pénale fictive. Enfin, il est 12J010</w:t>
      </w:r>
    </w:p>
    <w:p>
      <w:r>
        <w:t>- 11 - conforme au chiffre 4.3 de cette directive, qui prévoit qu’en cas de renvoi devant l’autorité de jugement, les décisions subséquentes à l’acte d’accusation sont communiquées par la direction de la procédure, ainsi qu’à l’art. 19 al. 1 LVCPP, que la direction de la procédure, soit le Président du Tribunal de police, transmette le jugement de première instance à l’autorité de surveillance. L’intérêt privé du recourant à ne pas voir sa condamnation divulguée à sa supérieure hiérarchique doit être mis en balance avec l’intérêt public à la prévention de comportements analogues au sein de […]. En l’espèce, cet intérêt public est manifeste, dès lors qu’il est reproché au recourant d’avoir utilisé le cadre de son activité professionnelle pour déposer plus aisément une plainte pénale fictive. En sa qualité d’autorité de surveillance, C.________ a dès lors un intérêt à déterminer si les agissements de son subordonné sont isolés ou s’ils révèlent d’autres éléments problématiques, ainsi qu’à apprécier la nécessité de mesures propres à prévenir la réitération de faits similaires, tant par l’intéressé lui-même, aussi longtemps qu’il demeure lié par un rapport de service, que, plus largement, par ses collègues. Par ailleurs, la communication du jugement est strictement limitée à C.________ et ne confère aucun accès généralisé à […], de sorte qu’il n’y a pas lieu de craindre un usage excessif des données personnelles du recourant. Une fois informée, il appartiendra à C.________ d’examiner quelles mesures disciplinaires s’imposent. Enfin, le fait que le recourant soit en arrêt de travail et qu’il ne soit plus rémunéré depuis quelques mois constitue des éléments à prendre en considération dans l’éventuel examen disciplinaire, mais dépourvus de pertinence au moment de déterminer s’il y a lieu, ou non, de communiquer le jugement à C.________. Dans ces conditions, au regard des considérations susmentionnées, la communication litigieuse respecte le principe de proportionnalité : elle est apte à atteindre le but poursuivi, soit permettre à l’autorité de surveillance de statuer en toute connaissance de cause, nécessaire, ce but ne pouvant être atteint de manière équivalente par une 12J010</w:t>
      </w:r>
    </w:p>
    <w:p>
      <w:r>
        <w:t>- 12 - mesure moins incisive, et proportionnée au sens étroit, l’atteinte à la sphère privée du recourant étant justifiée par un intérêt public prépondérant et limitée tant quant à la destinataire de la communication que quant à sa finalité. Enfin, l’accès au dossier, également contesté par le recourant, constitue un complément adéquat et proportionné à la communication du jugement, propre à permettre à C.________ de disposer d’une vision complète de l’affaire. La décision du Président du Tribunal de police doit donc également être confirmée sur ce point.</w:t>
      </w:r>
    </w:p>
    <w:p>
      <w:r>
        <w:rPr>
          <w:b/>
        </w:rPr>
        <w:t>E. 2.1</w:t>
      </w:r>
    </w:p>
    <w:p>
      <w:r>
        <w:t>A teneur de l'art. 13 al. 1 Cst., toute personne a droit au respect de sa vie privée et familiale, de son domicile, de sa correspondance et des relations qu'elle établit par la poste et les télécommunications. Toute personne a en outre le droit d'être protégée contre l'emploi abusif des données qui la concernent (art. 13 al. 2 Cst.).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ATF 137 II 371 consid. 6.1). Comme pour tout droit fondamental, des restrictions sont admissibles si elles reposent sur une base légale, si elles sont justifiées par un intérêt public et si elles respectent le principe de la proportionnalité ; en outre, elles ne peuvent violer l'essence des droits fondamentaux (art. 36 Cst. ; cf. notamment ATF 138 III 322 ; ATF 134 I 209 consid. 2.3.1). Consacré à l'art. 5 al. 2 Cst., le principe de proportionnalité exige qu'une mesure restrictive soit apte à produire les résultats escomptés (règle de l'aptitude) et que ceux-ci ne puissent être atteints par une mesure moins 12J010</w:t>
      </w:r>
    </w:p>
    <w:p>
      <w:r>
        <w:t>- 7 - incisive (règle de la nécessité); en outre, il interdit toute limitation allant au- delà du but visé et il exige un rapport raisonnable entre celui-ci et les intérêts publics ou privés compromis (principe de la proportionnalité au sens étroit), impliquant une pesée des intérêts (ATF 149 I 49 consid. 5.1 ; ATF 146 I 157 consid. 5.4 ; ATF 143 I 403 consid. 5.6.3).</w:t>
      </w:r>
    </w:p>
    <w:p>
      <w:r>
        <w:rPr>
          <w:b/>
        </w:rPr>
        <w:t>E. 2.2.1</w:t>
      </w:r>
    </w:p>
    <w:p>
      <w:r>
        <w:t>; CREP 20 juin 2024/454 consid. 2.2 ; CREP 18 juillet 2023/589 consid. 2.2.1). Le texte de l'art. 101 al. 2 CPP exige que la consultation du dossier pénal réponde aux besoins d'une autre procédure – pénale, civile ou administrative – pendante. L’idée est que les autorités ont un droit général de consulter mutuellement leurs procédures respectives en cas de besoin et lorsqu’aucun intérêt prépondérant ne s’y oppose (cf. art. 194 CPP ; Hans/Wiprächtiger/Schmutz, in : Niggli et al. [éd.], op. cit., n. 22 ad art. 101 CPP ; Jositsch/Schmid, Schweizerische Strafprozess-ordnung, Praxiskommentar, 4e éd., Zurich/Saint-Gall, 2023, n. 17 ad art. 101 CPP ; Brüschweiler, in : Donatsch et al. [éd.], Zürcher Kommentar, Kommentar zur Schweizerischen Strafprozessordnung, 3e éd. 2020, n. 10 ad art. 101 CPP ; Moreillon/Parein-Reymond, op. cit, nn. 17 ss ad art. 101 CPP). 12J010</w:t>
      </w:r>
    </w:p>
    <w:p>
      <w:r>
        <w:t>- 10 - Il apparaît dès lors que l'art. 101 al. 2 CPP ne doit pas être interprété trop littéralement et que l'exigence d'une procédure « pendante » a seulement pour but de réserver l'accès au dossier à des autorités qui en ont besoin dans l'exercice actuel (présent et effectif) de leurs compétences légales, par opposition à des autorités qui pourraient en avoir besoin pour une décision qu'elles auront éventuellement à prendre à l'avenir. Si aucun intérêt public ou privé prépondérant ne s'y oppose, la direction de la procédure peut dès lors reconnaître le droit de consulter le dossier, en vertu de l'art. 101 al. 2 CPP, à une autorité qui invoque son besoin d'en connaître le contenu pour décider de l'ouverture ou de la non-ouverture d'une procédure devant elle (CREP 9 janvier 2025/13 consid. 2.2.1 ; CREP 20 juin 2024/454 consid. 2.2 ; CREP 24 mai 2023/427 consid. 2.2).</w:t>
      </w:r>
    </w:p>
    <w:p>
      <w:r>
        <w:rPr>
          <w:b/>
        </w:rPr>
        <w:t>E. 2.2.2</w:t>
      </w:r>
    </w:p>
    <w:p>
      <w:r>
        <w:t>Dans le canton de Vaud, l'art. 19 al. 1 LVCPP dispose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 Cette disposition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 divulgation. L'art. 19 al. 1 LVCPP doit être considéré comme constituant une base légale suffisante pour permettre aux autorités pénales la communication d'informations à des autorités administratives cantonales ou fédérales (TF 7B_323/2024 du 10 juin 2024 consid. 3.2.1 ; TF 7B_129/2023 du 3 janvier 2024 consid. 4.2.1).</w:t>
      </w:r>
    </w:p>
    <w:p>
      <w:r>
        <w:rPr>
          <w:b/>
        </w:rPr>
        <w:t>E. 2.2.3</w:t>
      </w:r>
    </w:p>
    <w:p>
      <w:r>
        <w:t>Selon la directive émise par le Procureur général du canton de Vaud le 1er novembre 2016 dans sa teneur au 14 octobre 2022, intitulée « Communication des décisions à l’autorité disciplinaire ou de surveillance de 12J010</w:t>
      </w:r>
    </w:p>
    <w:p>
      <w:r>
        <w:t>- 9 - la profession exercée par le prévenu » (Directive n° 2.8 du Procureur général), le Ministère public informe notamment C.________ de l’ouverture et de la clôture d’une enquête pénale dirigée contre [...]. Selon le chiffre 4.3 let. b de cette directive, en cas de renvoi devant l’autorité de jugement, une copie de l’acte d’accusation doit être transmise immédiatement au Procureur général. Les décisions subséquentes à l’acte d’accusation seront communiquées par la direction de la procédure.</w:t>
      </w:r>
    </w:p>
    <w:p>
      <w:r>
        <w:rPr>
          <w:b/>
        </w:rPr>
        <w:t>E. 2.3</w:t>
      </w:r>
    </w:p>
    <w:p>
      <w:r>
        <w:t>Selon l’art. 101 al. 2 CPP, d'autres autorités que le Ministère public peuvent consulter le dossier lorsqu'elles en ont besoin pour traiter une procédure civile, pénale ou administrative pendante et si aucun intérêt public ou privé prépondérant ne s'y oppose. La consultation du dossier par d’autres autorités, au sens de l’art. 101 al. 2 CPP, présuppose une pesée des intérêts en présence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(CREP 9 janvier 2025/13 consid.</w:t>
      </w:r>
    </w:p>
    <w:p>
      <w:r>
        <w:rPr>
          <w:b/>
        </w:rPr>
        <w:t>E. 2.4</w:t>
      </w:r>
    </w:p>
    <w:p>
      <w:r>
        <w:t>Comme l’a relevé le Président du Tribunal de police, le recourant n’a pas contesté la décision rendue le 22 juillet 2025 par le Procureur général, ordonnant la communication à C.________ de l’ouverture de la procédure pénale. Celle-ci a été exécutée le 4 septembre 2025. Le présent litige porte donc uniquement sur la communication du jugement rendu le</w:t>
      </w:r>
    </w:p>
    <w:p>
      <w:r>
        <w:rPr>
          <w:b/>
        </w:rPr>
        <w:t>E. 3</w:t>
      </w:r>
    </w:p>
    <w:p>
      <w:r>
        <w:t>Invoquant l’art. 425 CPP, le recourant soutient qu’il serait endetté à hauteur de 31'004 fr. de sorte que le premier juge aurait commis un abus d’appréciation manifeste en lui faisant supporter les frais de sa décision par 300 francs.</w:t>
      </w:r>
    </w:p>
    <w:p>
      <w:r>
        <w:rPr>
          <w:b/>
        </w:rPr>
        <w:t>E. 3.1.1</w:t>
      </w:r>
    </w:p>
    <w:p>
      <w:r>
        <w:t>A teneur de l’art. 425 CPP,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 et al. [éd.], op. cit., n. 2 ad art. 425 CPP ; Griesser, in : Donatsch et al. [éd.], Kommentar zur Schweizerischen Strafprozessordnung, 3e éd., Zurich/Bâle/Genève 2020, n. 1 ad art. 425 CPP).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CREP 11 novembre 2205/861 consid. 3 ; Fontana, in : Jeanneret et al. [éd.], Commentaire romand, Code de procédure pénale suisse, 2e éd., Bâle 2019 [ci-après : CR CPP], n. 1 ad art. 425 CPP). La personne condamnée ou une autre personne qui y est habilitée peut demander par écrit qu’une 12J010</w:t>
      </w:r>
    </w:p>
    <w:p>
      <w:r>
        <w:t>- 13 - telle procédure soit introduite ; sa demande doit être motivée (art. 364 al. 2 CPP) ; en particulier, lorsque le demandeur n’est pas une autorité, il doit au moins exposer et rendre vraisemblable les conditions auxquelles sa demande est subordonnée (Roten/Perrin, in : CR CPP, n. 27b et 28 ad art. 364 CPP et les références citées). Formulée comme une norme potestative, l’art. 425 CPP laisse aux autorités pénales une large marge d’appréciation (Domeisen, in : Niggli et al. [éd.], op. cit., n. 5 ad art. 425 CPP ; Griesser, in : Donatsch et al.[éd.], op. cit., n. 1a ad art. 425 CPP ; TF 6B_150/2024 du 18 mars 2024, consid. 2 et les arrêts cités). Selon la doctrine, l’autorité pénale peut décider de réduire ou remettre les frais afin de ne pas rendre plus difficile la réinsertion sociale du condamné (Fontana, in : CR CPP, n. 2 ad art. 425 CPP). L’imputation des frais, quand bien même elle ne constitue pas une peine, est personnelle et ne doit donc pas se trouver répercutée injustement sur l’entourage, la famille de la personne astreinte au paiement (ibidem). Selon la jurisprudence du Tribunal pénal fédéral, une remise de frais de procédure au sens de l’art. 425 CPP ne peut pas être accordée lorsque le requérant ne fait valoir aucun fait nouveau depuis le prononcé du jugement ou de l’arrêt entré en force. L’aggravation de la situation financière du requérant constitue un fait nouveau (TPF SK.2014.20 du 10 décembre 2014, consid. 5 ; Fontana, in : CR CPP, n. 3 ad art. 425 CPP et les références citées).</w:t>
      </w:r>
    </w:p>
    <w:p>
      <w:r>
        <w:rPr>
          <w:b/>
        </w:rPr>
        <w:t>E. 3.2</w:t>
      </w:r>
    </w:p>
    <w:p>
      <w:r>
        <w:t>En l’espèce, le grief tiré de l’art. 425 CPP est irrecevable. En effet, une décision de réduction ou de remise des frais de procédure ne peut concerner que des frais mis à la charge d’une partie par une décision entrée en force. Or, en l’espèce, les frais de 300 fr. contestés résultent précisément du prononcé contre lequel le recourant a formé recours. Ce prononcé n’était donc pas entré en force au moment où le recourant a invoqué l’art. 425 CPP. En outre, la compétence pour réduire ou remettre les frais de procédure appartient à l’autorité pénale qui statué, soit en l’occurrence, le Président du Tribunal de police. Ce moyen est dès lors irrecevable dans la présente procédure. 12J010</w:t>
      </w:r>
    </w:p>
    <w:p>
      <w:r>
        <w:t>- 14 - Par surabondance, même à supposer recevable, ce moyen devrait être rejeté, le recourant ne faisant valoir aucun élément nouveau depuis la notification de la décision entreprise, se limitant à rappeler l’état de son endettement et son budget tels qu’ils étaient déjà connus de l’autorité intimée lorsqu’elle s’est prononcée.</w:t>
      </w:r>
    </w:p>
    <w:p>
      <w:r>
        <w:rPr>
          <w:b/>
        </w:rPr>
        <w:t>E. 4</w:t>
      </w:r>
    </w:p>
    <w:p>
      <w:r>
        <w:t>Au vu de ce qui précède, le recours, manifestement mal fondé, doit être rejeté dans la mesure où il est recevable, sans échange d’écritures (art. 390 al. 2 CPP), et la décision du 2 décembre 2025 confirmée. Les frais de la procédure de recours, constitués du seul émolument d’arrêt (art. 422 al. 1 CPP), par 1’430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 décembre 2025 est confirmée. III. Les frais d’arrêt, par 1’430 fr. (mille quatre cent trente francs), sont mis à la charge de B.________. IV. L’arrêt est exécutoire. Le juge présidant : Le greffier : 12J010</w:t>
      </w:r>
    </w:p>
    <w:p>
      <w:r>
        <w:t>- 15 - Du Le présent arrêt, dont la rédaction a été approuvée à huis clos, est notifié, par l'envoi d'une copie complète, à : - M. B.________, - M. le Procureur général du canton de Vaud, et communiqué à :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