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PE25.008173 vom 9. September 2025</w:t>
      </w:r>
    </w:p>
    <w:p>
      <w:r>
        <w:t>VD Tribunal cantonal, 2025-09-09, FR</w:t>
      </w:r>
    </w:p>
    <w:p>
      <w:r>
        <w:rPr>
          <w:b/>
        </w:rPr>
        <w:t xml:space="preserve">Quelle: </w:t>
      </w:r>
      <w:r>
        <w:t>https://mcp.opencaselaw.ch/entscheid/vd_gerichte_PE25.008173</w:t>
      </w:r>
    </w:p>
    <w:p>
      <w:r>
        <w:t>FR: VD_GERICHTE PE25.008173 du 9 septembre 2025</w:t>
      </w:r>
    </w:p>
    <w:p>
      <w:r>
        <w:t>IT: VD_GERICHTE PE25.008173 del 9 settembre 2025</w:t>
      </w:r>
    </w:p>
    <w:p>
      <w:pPr>
        <w:pStyle w:val="Heading2"/>
      </w:pPr>
      <w:r>
        <w:t>Erwägungen</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La recourante invoque d’abord une constatation incomplète des faits. Elle reproche au Ministère public d’avoir fait preuve d’une « grave insuffisance dans l’investigation des faits », en omettant de mettre en œuvre une levée d’empreintes digitales sur les lieux, qui aurait permis de vérifier la présence de toute personne non autorisée dans la maison et d’étayer les soupçons d’occupation illégitime de la propriété. En outre, les déclarations de B.N.________ et de L.________, selon lesquelles ces derniers ne seraient plus en possession des clés de la propriété depuis 2017, respectivement depuis 2024, ne seraient pas corroborées par des</w:t>
      </w:r>
    </w:p>
    <w:p>
      <w:r>
        <w:t>- 6 - preuves matérielles et seraient contradictoires avec les faits établis, à savoir la convention de partage successoral ratifiée par le Tribunal d’arrondissement de l’Est vaudois en 2016, qui autorisait à la recourante l’accès à la propriété. Un autre manquement résiderait dans le fait que Me L.________, en sa qualité d’exécuteur testamentaire, n’aurait pas pris les mesures nécessaires pour sécuriser adéquatement la propriété, malgré son obligation légale à cet égard. Cet élément aurait dû être pris en considération par l’enquête. Enfin, le constat effectué le 19 mai 2025 par la recourante de la dégradation intentionnelle de trois caméras de vidéosurveillance, installées le 10 janvier 2025, constituerait indubitablement une tentative de dissimulation de preuves et prouverait la thèse d’un accès clandestin indu à la propriété de la recourante. L’absence de mesures d’instruction à cet égard, notamment une levée des empreintes digitales, aurait conduit à une investigation incomplète. Compte tenu de l’ensemble de ces éléments, l’enquête serait lacunaire et il se justifierait d’annuler l’ordonnance attaquée pour nouvelle instruction.</w:t>
      </w:r>
    </w:p>
    <w:p>
      <w:r>
        <w:rPr>
          <w:b/>
        </w:rPr>
        <w:t>E. 2.2.1</w:t>
      </w:r>
    </w:p>
    <w:p>
      <w:r>
        <w:t>Conformément à l'art. 310 al. 1 let. a CPP, le Ministère public rend immédiatement une ordonnance de non-entrée en matière s'il ressort de la dénonciation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w:t>
      </w:r>
    </w:p>
    <w:p>
      <w:r>
        <w:t>- 7 -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 TF 7B_115/2023 du 12 juillet 2024 consid. 4.1).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L’art. 139 ch. 1 CP dispose que quiconque, pour se procurer ou procurer à un tiers un enrichissement illégitime, soustrait une chose</w:t>
      </w:r>
    </w:p>
    <w:p>
      <w:r>
        <w:t>- 8 - mobilière appartenant à autrui dans le but de se l’approprier est puni d’une peine privative de liberté de cinq ans au plus ou d’une peine pécuniaire. Cette infraction suppose un dessein d’enrichissement illégitime et un acte de soustraction.</w:t>
      </w:r>
    </w:p>
    <w:p>
      <w:r>
        <w:rPr>
          <w:b/>
        </w:rPr>
        <w:t>E. 2.2.3</w:t>
      </w:r>
    </w:p>
    <w:p>
      <w:r>
        <w:t>Selon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w:t>
      </w:r>
    </w:p>
    <w:p>
      <w:r>
        <w:rPr>
          <w:b/>
        </w:rPr>
        <w:t>E. 2.3</w:t>
      </w:r>
    </w:p>
    <w:p>
      <w:r>
        <w:t>En l’occurrence, ni le notaire L.________, exécuteur testamentaire, ni B.N.________, père de la plaignante, ne semblent être les auteurs des faits dénoncés. Ils affirment avoir rendu les clés et, pour le premier, un document en atteste. Quant à B.N.________, la plaignante n’a pas allégué qu’il resterait en possession d’une clé clairement identifiée. On peine aussi à comprendre pourquoi il serait revenu dans la maison après le partage successoral fin 2023, s’il n’y est pas venu depuis 2017, de même qu’on ne comprend pas pourquoi dans ce cas, il aurait nié s’y être rendu jusqu’au partage successoral intervenu en 2023, étant précisé qu’il avait admis avoir réimmatriculé un bien de la succession, à savoir le véhicule Audi TT pour son propre usage lors de son audition par la police en janvier 2016 déjà. Par ailleurs, la plaignante, qui a posé des caméras de surveillance, n’a pas fourni d’images qui permettraient de reconnaître un auteur, singulièrement son père. Elle joint en revanche des images de l’intérieur de la maison censées attester de son occupation. Or, l’intérieur présenté ne permet pas de confirmer ou d’infirmer l’occupation du logement. A cet égard, on ne distingue sur les photographies – de par leur grand angle – aucun élément d’usage quotidien, tel qu’une brosse à dent, un vêtement, de la nourriture ou une éponge humide. Quant à la liste du matériel que la plaignante déclare comme « disparu », on ignore tout de celui-ci, s’il a vraiment été stocké dans la maison ou emporté déjà auparavant, voire s’il a simplement existé. La plainte est fondée sur les</w:t>
      </w:r>
    </w:p>
    <w:p>
      <w:r>
        <w:t>- 9 - seules déclarations de la recourante, sans aucune preuve, voire indice, permettant de déterminer les conditions de réalisation d’une infraction et/ou l’auteur. En l’état, on ne voit pas quels pourraient être les actes d’instruction pertinents, qui auraient pu être mis en œuvre par le Ministère public pour élucider les faits et déterminer l’auteur ou les auteurs des faits dénoncés, singulièrement désigner son père. A cet égard, le relevé d’empreintes requis par la plaignante, tant dans la maison qu’aux abords des fixations des caméras de surveillance ne paraît pas pertinent, d’une part, au vu de l’écoulement du temps, d’autre part, dès lors qu’il nécessiterait, pour être utile, que les données biométriques de l’auteur figurent au fichier AFIS (Système automatique d'identification des empreintes digitales). On ignore de surcroît si l’auteur de la prétendue appropriation illégitime et l’auteur de l’enlèvement des caméras est la même personne, ce qui semble peu plausible vu l’écoulement du temps entre les événements. On ajoutera que le père de la plaignante a déjà été entendu par les autorités policières à deux reprises pour des faits en lien avec des objets mobiliers qu’il se serait appropriés, en 2016 puis en 2025. En tant que la plaignante suggère que son père aurait menti lors de son audition de 2025, elle n’apporte aucun élément tangible de son argument, sinon sa seule certitude dans un climat familial manifestement conflictuel. Enfin, en reprochant à Me L.________ d’avoir négligé de sécuriser la propriété de manière adéquate, sa critique sort d’emblée du cadre de la présente cause concernant la non-entrée en matière sur une plainte pénale et ressort en revanche de la responsabilité de l’exécuteur testamentaire, à savoir une question de droit civil. Au vu de l’ensemble des éléments qui précèdent, c’est à bon droit que le Ministère public a rendu une ordonnance de non-entrée en matière. Par ailleurs, aucune mesure d’instruction supplémentaire ne permettrait d’aboutir à une appréciation différente.</w:t>
      </w:r>
    </w:p>
    <w:p>
      <w:r>
        <w:rPr>
          <w:b/>
        </w:rPr>
        <w:t>E. 3.1</w:t>
      </w:r>
    </w:p>
    <w:p>
      <w:r>
        <w:t>La recourante fait ensuite valoir que l’ordonnance de non- entrée en matière serait inopportune, au vu des circonstances</w:t>
      </w:r>
    </w:p>
    <w:p>
      <w:r>
        <w:t>- 10 - développées auparavant, à savoir en raison de la constatation incomplète des faits et de la carence dans l’investigation.</w:t>
      </w:r>
    </w:p>
    <w:p>
      <w:r>
        <w:rPr>
          <w:b/>
        </w:rPr>
        <w:t>E. 3.2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3e éd., Berne 2011, n. 5.7.4.5 ; Stephensen/Thiriet, in Niggli/Heer/Wiprächtiger [éd.], Basler Kommentar, Schweizerische Strafprozessordnung, Jugendstrafprozessordnung, 3e éd., 2023, n. 17 ad art. 393 CPP ; Jositsch/Schmid, Schweizerische Strafprozessordnung, Praxiskommentar, 4e éd., 2023, nn. 17 s. ad art. 393 CPP).</w:t>
      </w:r>
    </w:p>
    <w:p>
      <w:r>
        <w:rPr>
          <w:b/>
        </w:rPr>
        <w:t>E. 3.3</w:t>
      </w:r>
    </w:p>
    <w:p>
      <w:r>
        <w:t>En l’espèce, après avoir examiné la situation en droit, la Chambre de céans est parvenue elle aussi à la conclusion que les faits n’étaient clairement pas punissables. Il apparaît dès lors que l’ordonnance attaquée est non seulement bien fondée, mais également opportune. Le Ministère public n’a pas abusé de son pouvoir d’appréciation et son refus d’entrer en matière se révèle entièrement justifié.</w:t>
      </w:r>
    </w:p>
    <w:p>
      <w:r>
        <w:rPr>
          <w:b/>
        </w:rPr>
        <w:t>E. 4</w:t>
      </w:r>
    </w:p>
    <w:p>
      <w:r>
        <w:t>En définitive, le recours, manifestement mal fondé, doit être rejeté sans échange d’écritures (art. 390 al. 2 CPP), dans la mesure où il est recevable, et l’ordonnance attaquée confirmée.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 L'avance de frais de 770 fr. versée par la précitée à titre de sûretés sera imputée sur les frais d'arrêt mis à sa charge (art. 7 TFIP), le solde en faveur de l’Etat s’élevant ainsi à 330 francs.</w:t>
      </w:r>
    </w:p>
    <w:p>
      <w:r>
        <w:t>- 11 - Par ces motifs, la Chambre des recours pénale prononce : I. Le recours est rejeté dans la mesure où il est recevable. II. L’ordonnance du 13 juin 2025 est confirmée. III. Les frais d’arrêt, par 1'100 fr. (mille cent francs), sont mis à la charge de G.________. IV. Le montant de 770 fr. versé par G.________ à titre de sûretés est imputé sur les frais mis à sa charge au chiffre III ci-dessus, et le solde dû à l’Etat par celle-ci s’élève à 330 fr. (trois cent trente francs). V. L’arrêt est exécutoire. Le président : La greffière : Du Le présent arrêt, dont la rédaction a été approuvée à huis clos, est notifié, par l'envoi d'une copie complète, à : - Me David Minder, avocat (pour G.________), - Ministère public central ; et communiqué à : - M. le Procureur de l’arrondissement de l’Est vaudois,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