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PE25.008052 vom 12. Juni 2025</w:t>
      </w:r>
    </w:p>
    <w:p>
      <w:r>
        <w:t>VD Tribunal cantonal, 2025-06-12, FR</w:t>
      </w:r>
    </w:p>
    <w:p>
      <w:r>
        <w:rPr>
          <w:b/>
        </w:rPr>
        <w:t xml:space="preserve">Quelle: </w:t>
      </w:r>
      <w:r>
        <w:t>https://mcp.opencaselaw.ch/entscheid/vd_gerichte_PE25.008052</w:t>
      </w:r>
    </w:p>
    <w:p>
      <w:r>
        <w:t>FR: VD_GERICHTE PE25.008052 du 12 juin 2025</w:t>
      </w:r>
    </w:p>
    <w:p>
      <w:r>
        <w:t>IT: VD_GERICHTE PE25.008052 del 12 giugno 2025</w:t>
      </w:r>
    </w:p>
    <w:p>
      <w:pPr>
        <w:pStyle w:val="Heading2"/>
      </w:pPr>
      <w:r>
        <w:t>Erwägungen</w:t>
      </w:r>
    </w:p>
    <w:p>
      <w:r>
        <w:rPr>
          <w:b/>
        </w:rPr>
        <w:t>E. 1</w:t>
      </w:r>
    </w:p>
    <w:p>
      <w:r>
        <w:t>; Harari/ Corminboeuf Harari, in Jeanneret et al. [éd.] : Commentaire romand, Code de procédure pénale suisse [CR CPP], 2e éd. 2019, n. 11 ad art. 132 CPP et n. 16 ad art. 136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(CREP 2 mai 2025/323 consid.</w:t>
      </w:r>
    </w:p>
    <w:p>
      <w:r>
        <w:rPr>
          <w:b/>
        </w:rPr>
        <w:t>E. 1.2</w:t>
      </w:r>
    </w:p>
    <w:p>
      <w:r>
        <w:t>Interjeté en temps utile, par le prévenu qui a qualité pour recourir (art. 382 al. 1 CPP), et satisfaisant aux conditions de forme prescrites (art. 385 al. 1 CPP), le recours est recevable. Il ne l’est cependant pas s’agissant des griefs en lien avec les faits reprochés au recourant – qu’il conteste –, dès lors que tel n’est pas l’objet de la décision attaquée.</w:t>
      </w:r>
    </w:p>
    <w:p>
      <w:r>
        <w:rPr>
          <w:b/>
        </w:rPr>
        <w:t>E. 2.1</w:t>
      </w:r>
    </w:p>
    <w:p>
      <w:r>
        <w:t>S’agissant du refus de lui désigner un défenseur d’office, le recourant invoque en substance qu’il est indigent, qu’il est ressortissant</w:t>
      </w:r>
    </w:p>
    <w:p>
      <w:r>
        <w:t>- 4 - étranger, qu’il ne maîtrise « pas parfaitement la langue française juridique » et qu’il considère ainsi indispensable d’être assisté afin de garantir ses droits. Selon lui, même si l’affaire est qualifiée de « non complexe », les enjeux personnels, la barrière linguistique et les « risques de mauvaise interprétation des faits » rendraient nécessaire une assistance professionnelle.</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op. cit.,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parties ou parce que l’issue de la procédure pénale a une importance particulière pour le prévenu, par</w:t>
      </w:r>
    </w:p>
    <w:p>
      <w:r>
        <w:t>- 5 - exemple s’il encourt une révocation de l’autorisation d’exercer sa profession ou s’il risque de perdre la garde de ses enfants (TF 7B_839/2023 du 26 mars 2023 consid. 2.2 ; 1B_510/2022 du 16 décembre 2022 consid. 3.1). 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 3.5 ; TF 6B_593/2023 du 26 février 2024 consid. 6.3).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w:t>
      </w:r>
    </w:p>
    <w:p>
      <w:r>
        <w:t>- 6 - (ATF 142 III 138 consid. 5.1 ; ATF 140 V 521 consid. 9.1; TF 7B_611/2023 du 20 décembre 2023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du 20 décembre 2023 consid. 3.2.1).</w:t>
      </w:r>
    </w:p>
    <w:p>
      <w:r>
        <w:rPr>
          <w:b/>
        </w:rPr>
        <w:t>E. 2.3</w:t>
      </w:r>
    </w:p>
    <w:p>
      <w:r>
        <w:t>En l’espèce, force est de constater, avec le Ministère public, que le recourant ne se trouve pas dans un cas de défense obligatoire, que les faits sont d’une gravité relative et que la cause ne présente pas de difficulté particulière que ce soit sur le plan factuel ou juridique. Si l’intéressé évoque des enjeux personnels, il n’explique pas desquels il s’agirait. Cela étant, il résulte de l’extrait du casier judiciaire suisse du recourant qu’il n’a pas fait l’objet de condamnations pénales à ce jour, de sorte qu’il ne s’expose pas à une lourde peine, respectivement à une condamnation entrant dans le champ d’application de l’art. 132 al. 3 CPP, ni à la révocation d’un sursis antérieur, si les faits devaient être avérés. En outre, même dans cette hypothèse, le recourant ne se trouverait pas dans un cas de révocation de son autorisation de séjour en Suisse au sens de l’art. 62 al. 1 let. b et c LEI (Loi fédérale sur les étrangers et l’intégration du 16 décembre 2005 ; RS 142.20). Par ailleurs, il ressort du dossier que la partie plaignante n’est pas non plus représentée par un avocat. Enfin, quoique le recourant soutienne avoir des difficultés en langue française alors même qu’il a su présenter des actes exempts de toute erreur d’orthographe et dont le contenu démontre qu’il saisit parfaitement les enjeux de la procédure (cf. P. 11 et 15), reste que les difficultés liées à une mauvaise maîtrise de la langue ne</w:t>
      </w:r>
    </w:p>
    <w:p>
      <w:r>
        <w:t>- 7 - suffisent pas à elles seules à rendre une défense absolument nécessaire à la protection de ses intérêts au sens de l’art. 132 al. 1 let. b CPP, de telles difficultés pouvant aisément être palliées par le recours à un interprète (cf. TF 7B_935/2023 du 28 août 2024 consid. 2.3 et les références citées). Dans le cas présent, cette appréciation est d’autant plus justifiée que le recourant, qui a été entendu par la police le 13 février 2025 avec le concours d’un interprète, a pu s’exprimer de façon extrêmement détaillée sur les faits. Il s’ensuit que la cause ne présente pas de difficultés que le recourant ne pourrait surmonter seul et que l’assistance d’un défenseur n’est pas justifiée par la défense de ses intérêts.</w:t>
      </w:r>
    </w:p>
    <w:p>
      <w:r>
        <w:rPr>
          <w:b/>
        </w:rPr>
        <w:t>E. 3</w:t>
      </w:r>
    </w:p>
    <w:p>
      <w:r>
        <w:t>Au vu de ce qui précède, le recours, manifestement mal fondé, doit être rejeté dans la mesure où il est recevable sans échanges d’écritures (art. 390 al. 2 CPP) et l’ordonnance du 28 mai 2025 confirmée. Les frais de la procédure, constitués en l’espèce de l’émolument d'arrêt, par 770 fr. (art. 20 al. 1 TFIP), seront mis à la charge du recourant, qui succombe (art. 428 al. 1 CPP). Par ces motifs, la Chambre des recours pénale prononce : I. Le recours est rejeté dans la mesure où il est recevable. II. L’ordonnance du 28 mai 2025 est confirmée. III. Les frais d’arrêt, par 770 fr. (sept cent septante francs), son mis à la charge de I.________. IV. L’arrêt est exécutoire. Le président : Le greffier :</w:t>
      </w:r>
    </w:p>
    <w:p>
      <w:r>
        <w:t>- 8 - Du Le présent arrêt, dont la rédaction a été approuvée à huis clos, est notifié, par l'envoi d'une copie complète, à : - I.________,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