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PE25.007110 vom 25. August 2025</w:t>
      </w:r>
    </w:p>
    <w:p>
      <w:r>
        <w:t>VD Tribunal cantonal, 2025-08-25, FR</w:t>
      </w:r>
    </w:p>
    <w:p>
      <w:r>
        <w:rPr>
          <w:b/>
        </w:rPr>
        <w:t xml:space="preserve">Quelle: </w:t>
      </w:r>
      <w:r>
        <w:t>https://mcp.opencaselaw.ch/entscheid/vd_gerichte_PE25.007110</w:t>
      </w:r>
    </w:p>
    <w:p>
      <w:r>
        <w:t>FR: VD_GERICHTE PE25.007110 du 25 août 2025</w:t>
      </w:r>
    </w:p>
    <w:p>
      <w:r>
        <w:t>IT: VD_GERICHTE PE25.007110 del 25 agosto 2025</w:t>
      </w:r>
    </w:p>
    <w:p>
      <w:pPr>
        <w:pStyle w:val="Heading2"/>
      </w:pPr>
      <w:r>
        <w:t>Erwägungen</w:t>
      </w:r>
    </w:p>
    <w:p>
      <w:r>
        <w:rPr>
          <w:b/>
        </w:rPr>
        <w:t>E. 1</w:t>
      </w:r>
    </w:p>
    <w:p>
      <w:r>
        <w:t>Par décision du 1er juillet 2025, le Ministère public de l’arrondissement de La Côte a autorisé, en lieu et place de la détention provisoire, E.________ à exécuter de manière anticipée, en milieu fermé, sa peine privative de liberté. 353</w:t>
      </w:r>
    </w:p>
    <w:p>
      <w:r>
        <w:t>- 2 -</w:t>
      </w:r>
    </w:p>
    <w:p>
      <w:r>
        <w:rPr>
          <w:b/>
        </w:rPr>
        <w:t>E. 2</w:t>
      </w:r>
    </w:p>
    <w:p>
      <w:r>
        <w:t>Par acte du 7 juillet 2025, remis à la poste le lendemain, E.________, agissant seul, a recouru contre cette décision en demandant son annulation au motif qu’il n’avait pas été totalement informé sur le régime d’exécution anticipée de peine qui, selon lui, n’était pas « une bonne idée » (P. 3).</w:t>
      </w:r>
    </w:p>
    <w:p>
      <w:r>
        <w:rPr>
          <w:b/>
        </w:rPr>
        <w:t>E. 3</w:t>
      </w:r>
    </w:p>
    <w:p>
      <w:r>
        <w:t>Le 12 août 2025, E.________, par son défenseur d’office, a indiqué retirer purement et simplement son recours (P. 9).</w:t>
      </w:r>
    </w:p>
    <w:p>
      <w:r>
        <w:rPr>
          <w:b/>
        </w:rPr>
        <w:t>E. 4</w:t>
      </w:r>
    </w:p>
    <w:p>
      <w:r>
        <w:t>Il y a lieu de prendre acte du retrait du recours et de rayer la cause du rôle (art. 386 al. 2 let. b CPP [Code de procédure pénale suisse du 5 octobre 2007 ; RS 312.0]).</w:t>
      </w:r>
    </w:p>
    <w:p>
      <w:r>
        <w:rPr>
          <w:b/>
        </w:rPr>
        <w:t>E. 5</w:t>
      </w:r>
    </w:p>
    <w:p>
      <w:r>
        <w:t>Les frais de procédure, constitués de l’émolument d’arrêt, par 220 fr. (art. 20 al. 1 TFIP [tarif des frais de procédure et indemnités en matière pénale du 28 septembre 2010 ; BLV 312.03.1]), seront laissés à la charge de l’Etat. Par ailleurs, il n’y a pas lieu à l’allocation d’une indemnité pour la procédure de recours, le recourant ayant procédé seul. Par ces motifs, la Chambre des recours pénale prononce : I. Il est pris acte du retrait du recours. II. La cause est rayée du rôle. III. Les frais d’arrêt, par 220 fr. (deux cent vingt francs), sont laissés à la charge de l’Etat. IV. L’arrêt est exécutoire. Le président : La greffière :</w:t>
      </w:r>
    </w:p>
    <w:p>
      <w:r>
        <w:t>- 3 - Du Le présent arrêt, dont la rédaction a été approuvée à huis clos, est notifié, par l'envoi d'une copie complète, à : - Me Michaël Geiger, avocat (pour E.________),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