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PE25.006977 vom 11. November 2025</w:t>
      </w:r>
    </w:p>
    <w:p>
      <w:r>
        <w:t>VD Tribunal cantonal, 2025-11-11, FR</w:t>
      </w:r>
    </w:p>
    <w:p>
      <w:r>
        <w:rPr>
          <w:b/>
        </w:rPr>
        <w:t xml:space="preserve">Quelle: </w:t>
      </w:r>
      <w:r>
        <w:t>https://mcp.opencaselaw.ch/entscheid/vd_gerichte_PE25.006977</w:t>
      </w:r>
    </w:p>
    <w:p>
      <w:r>
        <w:t>FR: VD_GERICHTE PE25.006977 du 11 novembre 2025</w:t>
      </w:r>
    </w:p>
    <w:p>
      <w:r>
        <w:t>IT: VD_GERICHTE PE25.006977 del 11 novembre 2025</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24 octobre 2025 par E.________, dès lors qu'elle est dirigée contre un procureur, c’est-à-dire un magistrat du Ministère public.</w:t>
      </w:r>
    </w:p>
    <w:p>
      <w:r>
        <w:t>- 4 -</w:t>
      </w:r>
    </w:p>
    <w:p>
      <w:r>
        <w:rPr>
          <w:b/>
        </w:rPr>
        <w:t>E. 2.1</w:t>
      </w:r>
    </w:p>
    <w:p>
      <w:r>
        <w:t>Le prévenu requiert la récusation du Procureur [...], en soutenant, en substance, qu'il existerait un doute sérieux quant à l'objectivité du magistrat. Il fait valoir que la demande du 9 octobre 2025 adressée au Tribunal des mesures de contrainte révèlerait une apparence de partialité dans la mesure où elle émettrait l’hypothèse que le comportement incriminé aurait pu concerner d’autres enfants que [...] et [...]. Le requérant fait en particulier grief au magistrat de la phrase suivante, déjà mentionnée : « […] tout laisserait à penser qu’il aurait poursuivi son activité avec d’autres enfants, ce que l’enquête devra établir, notamment au moyen de l’analyse du matériel informatique saisi chez lui ». Il lui reproche également d’avoir indiqué que les mises en cause des enfants paraissaient « parfaitement » crédibles, d’une part, et d’avoir précisé que « l’on voit dès lors mal comment elle (réd. : la fille du prévenu) aurait pu être instrumentalisée par sa mère ». Enfin, le requérant fait grief au Procureur d’avoir déduit du fait que l’activité délictuelle se serait étendue sur une longue période que cela « dénoterait un enracinement profond dans la délinquance soutenu par des pulsions sexuelles qui ne seraient pas maîtrisées ».</w:t>
      </w:r>
    </w:p>
    <w:p>
      <w:r>
        <w:rPr>
          <w:b/>
        </w:rPr>
        <w:t>E. 2.2.1</w:t>
      </w:r>
    </w:p>
    <w:p>
      <w:r>
        <w:t>Selon l’art. 58 al. 1 CPP, la récusation doit être demandée sans délai, dès que la partie a connaissance du motif de récusation, c’est-à-dire dans les six ou sept jours qui suivent la connaissance de la cause de récusation, sous peine de déchéance (ATF 143 V 66 consid. 4.3 ; ATF 140 I 271 consid. 8.4.3). Les réquisits temporels de l’art.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(TF 7B_1407/2024 du 16 juin 2025 consid. 2.2.1 ; TF 7B_1296/2024 du 15 avril 2025 consid. 2.2.2).</w:t>
      </w:r>
    </w:p>
    <w:p>
      <w:r>
        <w:t>- 5 -</w:t>
      </w:r>
    </w:p>
    <w:p>
      <w:r>
        <w:rPr>
          <w:b/>
        </w:rPr>
        <w:t>E. 2.2.2</w:t>
      </w:r>
    </w:p>
    <w:p>
      <w:r>
        <w:t>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(ATF 148 IV 137 consid. 2.2 ; ATF 143 IV 69 consid. 3.2 ; TF 7B_1296/2024 du 15 avril 2025 consid. 2.2.1). L'impartialité subjective d'un magistrat se présume jusqu'à preuve du contraire (ATF 136 III 605 consid. 3.2.1 ; TF 7B_53/2025 du 12 juin 2025 consid. 3.2).</w:t>
      </w:r>
    </w:p>
    <w:p>
      <w:r>
        <w:rPr>
          <w:b/>
        </w:rPr>
        <w:t>E. 2.3</w:t>
      </w:r>
    </w:p>
    <w:p>
      <w:r>
        <w:t>En l'espèce, la demande de mise en détention provisoire du 9 octobre 2025 a été adressé par courriel au défenseur du prévenu, de sorte que le représentant de la partie est réputé en avoir d’emblée eu connaissance. La requête de récusation n’a toutefois été déposée que le 24 octobre 2025, à savoir 15 jours après. Se pose dès lors la question de savoir si elle l’a été en temps utile. La requête a été déposée après interpellation préalable du Procureur du 15 octobre 2025, qui a répondu le 21 octobre 2025. Le délai de deux semaines séparant la prise de connaissance de la demande de mise en détention provisoire de la requête de récusation ne satisfait pas aux réquisits temporels de l’art. 58 al. 1 CPP, étant rappelé qu’une</w:t>
      </w:r>
    </w:p>
    <w:p>
      <w:r>
        <w:t>- 6 - demande de récusation déposée deux à trois semaines, plutôt que six ou sept jours après que son auteur a pris connaissance du motif de récusation est tardive. L’interpellation préalable adressée au Procureur n’est pas de nature à modifier l’appréciation du délai. Certes, le requérant fait courir le délai de la réponse du Procureur, le 21 octobre 2025. Toutefois, et en réalité, les motifs fondant sa requête ont trait au contenu de la demande de détention provisoire du 9 octobre 2025.</w:t>
      </w:r>
    </w:p>
    <w:p>
      <w:r>
        <w:rPr>
          <w:b/>
        </w:rPr>
        <w:t>E. 2.4</w:t>
      </w:r>
    </w:p>
    <w:p>
      <w:r>
        <w:t>En tout état de cause, s’il devait être retenu que le délai de 15 jours séparant la prise de connaissance de la demande de mise en détention provisoire de la requête de récusation serait encore acceptable, force est de constater que le prévenu lui-même a hésité à déposer sa demande de récusation, puisqu’il a demandé des informations complémentaires au Procureur au sujet de la portée de l’écrit contesté avant de procéder. Le besoin d’éclaircissement du prévenu confirme que le parti pris imputé au magistrat n’est pas manifeste de l’avis même du requérant. A titre encore plus superfétatoire, sur le fond, il sied de noter que le Procureur a lui-même exposé, dans sa demande de mise en détention provisoire, que l’enquête n’en était qu’à ses débuts et que de nombreux contrôles devaient être effectués afin de déterminer l’étendue de l’activité délictueuse du prévenu. Ce faisant, il a expressément manifesté que la situation devait être élucidée, partant qu’il ne tenait pas pour acquise l’étendue des agissements reprochés au prévenu. L’hypothèse d’infractions encore inconnues de la justice pénale est un motif de détention provisoire au regard du risque de collusion au sens de l’art. 221 al. 1 let. b CPP. Elle l’est également au regard du risque de réitération, précisément invoqué par le Procureur dans la phrase incriminée. Partant, mentionner la possibilité que les agissements punissables imputés au prévenu ne se sont pas limités à ses deux enfants concernés en l’état de la procédure ne saurait être constitutif d’un quelconque parti pris en sa défaveur. Il en va de même de l’appréciation de la crédibilité des mises en cause des enfants, notamment en rapport avec l’influence que leur mère aurait pu avoir sur eux, à laquelle le</w:t>
      </w:r>
    </w:p>
    <w:p>
      <w:r>
        <w:t>- 7 - Procureur a procédé dans le cadre de l’exposé relatif à la condition de l’exigence des forts soupçons de commission des infractions en cause. Quant à l’assertion selon laquelle « une activité délictuelle qui se serait étendue sur une aussi longue période dénoterait un enracinement profond dans la délinquance soutenu par des pulsions sexuelles qui ne seraient pas maîtrisées », que le Procureur a formulée dans son courrier du 21 octobre 2025, elle visait à répondre à la demande de précision du requérant. Au demeurant, elle était précédée d’une hypothèse (« s’il devait être condamné pour ces faits ») et était formulée au conditionnel. En définitive, le Procureur n’a pas outrepassé les devoirs de réserve, d’indépendance et d’impartialité qui s’imposent à lui en tant qu’autorité de poursuite pénale (cf. art. 12 CPP). A ce titre, l’art. 224 al. 2 CPP lui impose de motiver la demande qu’il transmet au Tribunal des mesures de contrainte. Comme le relève le Tribunal fédéral, il incombe au Ministère public, dans ce cadre, de démontrer les éléments justifiant la mise en détention provisoire du recourant ; le Tribunal fédéral en déduit que l’utilisation du présent de l’indicatif (plutôt que du conditionnel) n’y change rien (TF 7B_1038/2024 du 6 janvier 2025 consid. 3.4.2). En l’occurrence, non seulement le Procureur n’a pas usé de l’indicatif, mais il a – pour chacune des conditions posées par l’art. 221 al. 1 CPP – utilisé le conditionnel ou la forme hypothétique.</w:t>
      </w:r>
    </w:p>
    <w:p>
      <w:r>
        <w:rPr>
          <w:b/>
        </w:rPr>
        <w:t>E. 2.5</w:t>
      </w:r>
    </w:p>
    <w:p>
      <w:r>
        <w:t>En conséquence, aucun des motifs invoqués ne permet de retenir la moindre apparence de prévention du magistrat au sens de l'art. 56 let. f CPP.</w:t>
      </w:r>
    </w:p>
    <w:p>
      <w:r>
        <w:rPr>
          <w:b/>
        </w:rPr>
        <w:t>E. 3</w:t>
      </w:r>
    </w:p>
    <w:p>
      <w:r>
        <w:t>Il résulte de ce qui précède que la demande de récusation déposée le 24 octobre 2025 par E.________ contre le Procureur [...] doit être rejetée dans la mesure où elle est recevable. Les frais de la présente procédure, constitués en l’espèce du seul émolument de décision (art. 422 al. 1 CPP), par 880 fr. (art. 20 al. 1</w:t>
      </w:r>
    </w:p>
    <w:p>
      <w:r>
        <w:t>- 8 - TFIP [tarif des frais de procédure et indemnités en matière pénale du 28 septembre 2010 ; BLV 312.03.1]), seront mis à la charge du requérant, conformément à l'art. 59 al. 4, 2e phrase, CPP. Au vu de la nature de la cause et de l’acte déposé par le défenseur d’office du requérant, il sera retenu deux heures d’activité nécessaire d’avocat au tarif horaire de 180 fr. (art. 2 al. 1 let. a et 3 al. 2 RAJ [règlement sur l'assistance judiciaire en matière civile du 7 décembre 2010 ; BLV 211.02.3] par renvoi de l’art. 26b TFIP), soit 360 francs. Viennent s’y ajouter des débours forfaitaires à hauteur de 2 % des honoraires admis (art. 3bis al. 1 RAJ), soit 7 fr. 20, et la TVA au taux de 8,1 % sur le tout, par 29 fr. 74. L’indemnité d’office s’élève ainsi au total à 397 fr. en chiffres arrondis. Le remboursement à l’Etat de l’indemnité allouée au défenseur d’office sera exigible du requérant dès que sa situation financière le permettra (art. 135 al. 4 CPP). Par ces motifs, la Chambre des recours pénale prononce : I. La demande de récusation déposée le 24 octobre 2025 par E.________ à l'encontre de [...], Procureur du Ministère public de l'arrondissement de Lausanne, est rejetée dans la mesure où elle est recevable. II. L’indemnité allouée au défenseur d’office de E.________ est fixée à 397 fr. (trois cent nonante-sept francs). III. Les frais de décision, par 880 fr. (huit cent huitante francs), ainsi que l’indemnité due au défenseur d’office, par 397 fr. (trois cent nonante-sept francs), sont mis à la charge de E.________. IV. Le remboursement à l’Etat de l’indemnité allouée au chiffre II ci-dessus sera exigible de E.________ dès que sa situation financière le permettra.</w:t>
      </w:r>
    </w:p>
    <w:p>
      <w:r>
        <w:t>- 9 - V. La décision est exécutoire. Le président : Le greffier : Du La présente décision, dont la rédaction a été approuvée à huis clos, est notifiée, par l'envoi d'une copie complète, à : - Me Mireille Loroch, avocate (pour E.________),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