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PE25.006879 vom 4. Juli 2025</w:t>
      </w:r>
    </w:p>
    <w:p>
      <w:r>
        <w:t>VD Tribunal cantonal, 2025-07-04, FR</w:t>
      </w:r>
    </w:p>
    <w:p>
      <w:r>
        <w:rPr>
          <w:b/>
        </w:rPr>
        <w:t xml:space="preserve">Quelle: </w:t>
      </w:r>
      <w:r>
        <w:t>https://mcp.opencaselaw.ch/entscheid/vd_gerichte_PE25.006879</w:t>
      </w:r>
    </w:p>
    <w:p>
      <w:r>
        <w:t>FR: VD_GERICHTE PE25.006879 du 4 juillet 2025</w:t>
      </w:r>
    </w:p>
    <w:p>
      <w:r>
        <w:t>IT: VD_GERICHTE PE25.006879 del 4 luglio 2025</w:t>
      </w:r>
    </w:p>
    <w:p>
      <w:pPr>
        <w:pStyle w:val="Heading2"/>
      </w:pPr>
      <w:r>
        <w:t>Erwägungen</w:t>
      </w:r>
    </w:p>
    <w:p>
      <w:r>
        <w:rPr>
          <w:b/>
        </w:rPr>
        <w:t>E. 1.1.1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1.1.2</w:t>
      </w:r>
    </w:p>
    <w:p>
      <w:r>
        <w:t>Sauf disposition contraire du CPP, les communications des autorités pénales sont notifiées en la forme écrite (art. 85 al. 1 CPP). Selon l’art. 85 al. 2 CPP, la notification se fait en principe par lettre signature ou par tout autre mode de communication impliquant un accusé de réception, notamment par l’entremise de la police. Le prononcé est réputé notifié lorsqu’il a été remis au destinataire, à l’un de ses employés ou à toute personne de plus de seize ans vivant dans le même ménage (art. 85 al. 3 CPP). Selon la jurisprudence du Tribunal fédéral, le fardeau de la preuve de la notification et de la date de celle-ci incombe en principe à l’autorité qui entend en tirer une conséquence juridique (ATF 144 IV 57 consid. 2.3 ; ATF 142 IV 125 consid. 4 ; TF 6B_171/2024 du 4 septembre 2024 consid. 1.2). L’autorité supporte donc les conséquences de l’absence de preuve, notamment lorsqu’elle notifie une ordonnance par pli simple plutôt que d’user des formes de notification prévues à l’art. 85 al. 2 CPP, en ce sens que si la notification ou sa date sont contestées et qu’il existe effectivement un doute à ce sujet, il y a lieu de se fonder sur les déclarations du destinataire de l’envoi (ATF 142 IV 125 précité consid. 4.3 et les références citées).</w:t>
      </w:r>
    </w:p>
    <w:p>
      <w:r>
        <w:t>- 5 -</w:t>
      </w:r>
    </w:p>
    <w:p>
      <w:r>
        <w:rPr>
          <w:b/>
        </w:rPr>
        <w:t>E. 1.2</w:t>
      </w:r>
    </w:p>
    <w:p>
      <w:r>
        <w:t>En l’espèce, l’ordonnance attaquée a été adressée pour notification à la plaignante le 28 avril 2025 sous courrier A, de sorte qu’on ignore quand le pli est parvenu à sa destinataire. Il s’ensuit qu’il faut admettre que le recours, déposé le 20 mai 2025 à l’adresse du Ministère public (art. 91 al. 4 CPP), a été interjeté en temps utile. Déposé par la partie plaignante qui a qualité pour recourir (art. 382 al. 1 CPP), le recours est ainsi recevable.</w:t>
      </w:r>
    </w:p>
    <w:p>
      <w:r>
        <w:rPr>
          <w:b/>
        </w:rPr>
        <w:t>E. 2</w:t>
      </w:r>
    </w:p>
    <w:p>
      <w:r>
        <w:t>La recourante réitère implicitement les griefs formulés dans sa plainte. Les infractions ainsi dénoncées sont dès lors celles d’injure, de voies de fait et de viol, réprimées respectivement par l’art. 177 CP, l’art. 126 CP et l’art. 190 CP (Code pénal ; RS 311.0)</w:t>
      </w:r>
    </w:p>
    <w:p>
      <w:r>
        <w:rPr>
          <w:b/>
        </w:rPr>
        <w:t>E. 3</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in dubio pro duriore, qui découle du principe de la légalité (art. 5 al. 1 Cst. [Constitution fédérale de la Confédération suisse du 18 avril 1999 ; RS 101] et art. 2 al. 2 CPP ; ATF 138 IV 86 consid. 4.2 ; TF 6B_941/2021 du 9 mars 2022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6B_941/2021 précité). En d'autres termes, il faut être certain que l'état de fait ne constitue aucune infraction. Une ordonnance de non-entrée en matière ne peut être rendue que dans les cas clairs du point de vue des faits, mais également du droit ; s'il est nécessaire de</w:t>
      </w:r>
    </w:p>
    <w:p>
      <w:r>
        <w:t>- 6 -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4</w:t>
      </w:r>
    </w:p>
    <w:p>
      <w:r>
        <w:t>En l’espèce, la recourante a étayé ses griefs en produisant un DVD contenant des messages et des vidéos (cf. P. 7). Force est de constater que ces enregistrements divers n’étayent aucune infraction pénale susceptible d’avoir été commise par l’ex-compagnon de la plaignante, lequel nie du reste intégralement les faits que celle-ci lui reproche. La plaignante ne produit aucun autre moyen de preuve, ni n’en propose. Aucune mesure d’instruction n’apparaît de nature à établir les faits plus avant. Il s’ensuit que la non-entrée en matière procède d’une correcte application de l’art. 310 al. 1 let. a CPP.</w:t>
      </w:r>
    </w:p>
    <w:p>
      <w:r>
        <w:rPr>
          <w:b/>
        </w:rPr>
        <w:t>E. 5</w:t>
      </w:r>
    </w:p>
    <w:p>
      <w:r>
        <w:t>En définitive, le recours, manifestement mal fondé, doit être rejeté sans échange d’écritures (art. 390 al. 2 CPP) et l’ordonnance attaquée confirmée. Vu le sort du recours, les frais de la procédure, constitués du seul émolument d’arrêt, par 550 fr. (art. 20 al. 1 TFIP [tarif des frais de procédure et indemnités en matière pénale du 28 septembre 2010 ; BLV 312.03.1]), seront mis à la charge de la recourante, qui succombe (art. 428 al. 1 CPP).</w:t>
      </w:r>
    </w:p>
    <w:p>
      <w:r>
        <w:t>- 7 - Par ces motifs, la Chambre des recours pénale prononce : I. Le recours est rejeté. II. L’ordonnance du 23 avril 2025 est confirmée. III. Les frais d’arrêt, par 550 fr. (cinq cent cinquante francs), sont mis à la charge de X.________. IV. L’arrêt est exécutoire. Le président : Le greffier : Du Le présent arrêt, dont la rédaction a été approuvée à huis clos, est notifié, par l'envoi d'une copie complète, à : - Mme X.________,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