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PE25.006779 vom 23. Oktober 2025</w:t>
      </w:r>
    </w:p>
    <w:p>
      <w:r>
        <w:t>VD Tribunal cantonal, 2025-10-23, FR</w:t>
      </w:r>
    </w:p>
    <w:p>
      <w:r>
        <w:rPr>
          <w:b/>
        </w:rPr>
        <w:t xml:space="preserve">Quelle: </w:t>
      </w:r>
      <w:r>
        <w:t>https://mcp.opencaselaw.ch/entscheid/vd_gerichte_PE25.006779</w:t>
      </w:r>
    </w:p>
    <w:p>
      <w:r>
        <w:t>FR: VD_GERICHTE PE25.006779 du 23 octobre 2025</w:t>
      </w:r>
    </w:p>
    <w:p>
      <w:r>
        <w:t>IT: VD_GERICHTE PE25.006779 del 23 ottobre 2025</w:t>
      </w:r>
    </w:p>
    <w:p>
      <w:pPr>
        <w:pStyle w:val="Heading2"/>
      </w:pPr>
      <w:r>
        <w:t>Erwägungen</w:t>
      </w:r>
    </w:p>
    <w:p>
      <w:r>
        <w:rPr>
          <w:b/>
        </w:rPr>
        <w:t>E. 1</w:t>
      </w:r>
    </w:p>
    <w:p>
      <w:r>
        <w:t>CPP, qui interdit la prolongation des délais fixés par la loi et n’autorise pas la partie à compléter un acte dépourvu de motivation (TF 7B_11/2024 précité consid. 3.2 ; TF 7B_51/2024 du 25 avril 2024 consid. 2.2.2 ; TF 6B_1447/2022 du 14 mars 2023 consid. 1.1).</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7B_587/2023 du 11 septembre 2024 consid.</w:t>
      </w:r>
    </w:p>
    <w:p>
      <w:r>
        <w:t>- 8 - 2.2.1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7B_587/2023 précité). L’art. 385 al. 2 CPP prévoit que si le mémoire ne satisfait pas à ces exigences, l’autorité de recours le renvoie au recourant pour qu’il le complète dans un bref délai ;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7B_11/2024 du 27 juin 2025 consid. 3.2 ; TF 7B_587/2023 précité et les références citées). Elle ne saurait dès lors être complétée ou corrigée ultérieurement, l’art. 385 al. 2 CPP ne devant pas être appliqué afin de détourner la portée de l’art. 89 al.</w:t>
      </w:r>
    </w:p>
    <w:p>
      <w:r>
        <w:rPr>
          <w:b/>
        </w:rPr>
        <w:t>E. 1.3</w:t>
      </w:r>
    </w:p>
    <w:p>
      <w:r>
        <w:t>En l’espèce, faute d’accusé de réception par le recourant de l’ordonnance de non-entrée en matière – celle-ci ayant été communiquée par courrier ordinaire –, il y a lieu de considérer que le recours a été déposé en temps utile (ATF 142 IV 125 consid. 4.3). Aux termes de ses conclusions, le recourant requiert l’annulation de l’ordonnance attaquée dans son entier. Il ne développe cependant d’arguments qu’en lien avec les art. 179sexies et 181 CP en relation avec la pose d’un traceur GPS dans le manteau de son fils. Pour</w:t>
      </w:r>
    </w:p>
    <w:p>
      <w:r>
        <w:t>- 9 - tous les autres griefs non retenus par le Ministère public, il ne motive pas son recours. Celui-ci doit par conséquent être déclaré irrecevable dans cette mesure.</w:t>
      </w:r>
    </w:p>
    <w:p>
      <w:r>
        <w:rPr>
          <w:b/>
        </w:rPr>
        <w:t>E. 1.4</w:t>
      </w:r>
    </w:p>
    <w:p>
      <w:r>
        <w:t>On relèvera ici qu’il n’y avait pas lieu d’inviter B.S.________ à se déterminer sur le recours déposé par A.S.________, dès lors qu’elle n’est pas partie à cette étape de la procédure. Ce n’est qu’à titre informatif que l’ordonnance litigieuse lui a été communiquée.</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7B_115/2023 du 12 juillet 2024 consid. 4.1 ; TF 7B_24/2023 et 7B_25/2023 du 22 février 2024 consid. 3.2). L’art. 310 al. 2 CPP prévoit que les dispositions sur le classement de la procédure sont applicables pour le surplus.</w:t>
      </w:r>
    </w:p>
    <w:p>
      <w:r>
        <w:rPr>
          <w:b/>
        </w:rPr>
        <w:t>E. 2.2.1</w:t>
      </w:r>
    </w:p>
    <w:p>
      <w:r>
        <w:t>Invoquant une violation de l’art. 179sexies CP ainsi qu’une motivation insuffisante, le recourant reproche au Ministère public d’avoir privilégié la version de B.S.________ sans avoir tenu compte du fait qu’il ressortirait d’un message au dossier qu’elle aurait suivi ses déplacements</w:t>
      </w:r>
    </w:p>
    <w:p>
      <w:r>
        <w:t>- 10 - durant un week-end lors duquel il n’avait pas leur fils avec lui. Il ajoute qu’il serait peu crédible de soutenir que le dispositif de traçage litigieux était destiné à suivre les déplacements de son fils, dès lors que celui-ci, âgé de 3 ans, ne peut se déplacer qu’en étant accompagné. Les messages versés au dossier démontreraient en outre que le dispositif de traçage visait directement le recourant et qu’il avait été utilisé pour obtenir des informations personnelles à son sujet, notamment pour démontrer un certain défaut dans l’exercice de son droit de garde. A cet égard, le recourant indique que les parties sont en litige dans le cadre d’une procédure de mesures protectrices de l’union conjugale et que B.S.________ revendique la garde exclusive de leur enfant. L’usage du traçage ne répondrait ainsi pas à un besoin immédiat de protection mais s’inscrirait dans une stratégie de contentieux visant à affaiblir la position du recourant devant le juge civil en vue d’exclure une garde partagée.</w:t>
      </w:r>
    </w:p>
    <w:p>
      <w:r>
        <w:rPr>
          <w:b/>
        </w:rPr>
        <w:t>E. 2.2.2</w:t>
      </w:r>
    </w:p>
    <w:p>
      <w:r>
        <w:t>L’art. 179sexies ch. 1 CP dispose que quiconque fabrique, importe, exporte, acquiert, stocke, possède, transporte, remet à un tiers, vend, loue, prête ou met en circulation de toute autre manière des appareils techniques servant en particulier à l’écoute illicite ou à la prise illicite de son ou de vues, fournit des indications en vue de leur fabrication ou fait de la réclame en leur faveur, est puni d’une peine privative de liberté de trois ans au plus ou d’une peine pécuniaire. Selon le texte légal, il faut que les appareils servent « en particulier » à un usage illicite. La doctrine s’accorde à relever que cette formulation est malheureuse. En réalité, le législateur visait effectivement les dispositifs servant à un tel usage. Cependant, s’avisant que ceux-ci pourraient également être licitement employés, en vertu par exemple de l’art. 179octies CP, il a introduit les mots « en particulier ». Dès lors, conformément à l’intention première du législateur, certains auteurs préconisent de ne prendre en compte que les appareils servant exclusivement un but illicite (Dupuis et al. [éd.], Petit Commentaire du Code pénal, 2e éd., Bâle 2017, n. 2 ad art. 179sexies CP, avec réf. à l’arrêt TF 6B_552/2014 du 25 septembre 2014 consid. 2.1.2, à Stratenwerth/Jenny/Bommer, Schweizerisches Strafrecht, Besonderer Teil</w:t>
      </w:r>
    </w:p>
    <w:p>
      <w:r>
        <w:t>- 11 - I, 7e éd., Berne 2010, § 12 n. 64, et à Hurtado Pozo, Droit pénal, partie spéciale, nouvelle édition refondue et augmentée, Zurich 2009, § 85 n. 2286). Selon d’autres commentateurs, cette approche restrictive est fondée, mais le texte légal impose un tempérament : il faut que, selon l’expérience générale, l’utilisation illicite soit complètement au premier plan, respectivement vienne immédiatement à l’esprit (Dupuis et al., op. cit., ibid., avec réf. à : Trechsel/Lieber, Schweizerisches Strafgesetzbuch, Parxiskommentar, Zurich-St-Gall, 2008, n. 2 ad art. 179sexies CP, à Hurtado Pozo, op. cit., ibid., et à Corboz, Les infractions en droit suisse, vol. I, 3e éd., Berne 2010, n. 3 ad art. 179sexies CP). La doctrine préconise donc d’examiner les spécificités de l’objet et notamment sa taille. On pensera ainsi aux dispositifs déguisés, ayant par exemple l’apparence d’un stylo ou encore d’un bijou. Certains auteurs ont ainsi expressément envisagé que l’utilisation de logiciels malveillants permettant d’accéder ou d’enregistrer des données, notamment des sons et des images à l’insu des utilisateurs, puisse tomber sous le coup de l’art. 179sexies CP (Dupuis et al., op. cit., nn.</w:t>
      </w:r>
    </w:p>
    <w:p>
      <w:r>
        <w:rPr>
          <w:b/>
        </w:rPr>
        <w:t>E. 2.2.3</w:t>
      </w:r>
    </w:p>
    <w:p>
      <w:r>
        <w:t>En l’espèce, il n’est pas contesté que B.S.________ a inséré dans le manteau de son fils âgé de 3 ans un AirTag lui permettant de suivre les déplacements de ce vêtement. Celle-ci, sous la plume de son conseil, a justifié cette mesure par la volonté de suivre non pas le recourant, mais leur enfant. Or, avec le recourant, il faut bien reconnaître, s’agissant d’un enfant en bas-âge et non autonome, que là où l’enfant se trouve, le recourant s’y trouve également. Au dossier figurent en outre des messages échangés le 25 septembre 2024 qui sont explicites (P. 6/1) : B.S.________ : « Ça ne sert à rien de jouer le papa modèle qui s’occupe de son fils le mercredi si en fait tu fais passer ton job avant [...]. Je veux la garde de [...]». « Salutations à [...] puisque tu es à nouveau chez elle après ton détour… à l’étude… et tu me ment encore et encore et encore… tu n’as aucun respect pour personne [sic] » A.S.________ : « ah ben bonjour l’espionnage » « Ça te semble normal ça ? Comment tu fais d’ailleurs ? » « Mais comment je peux te mentir alors que je t’ai pas écris ?!? » B.S.________ : « J’en ai marre de que tu mente alors j’y suis obligée ! [sic] ». Au dossier figure également un message que B.S.________ aurait écrit le 24 novembre 2024 à A.S.________ dont la teneur est la suivante : « En tous cas faire [...] en un weekend, là tu lui reproche pas de surcharger ton weekend » (sic) (P. 6/1). Or, le recourant affirme que son fils ne se trouvait pas avec lui ce week-end-là, mais avec sa mère. Enfin, dans un courrier du 13 mars 2025 de Me Alexandre Saillet au Tribunal civil</w:t>
      </w:r>
    </w:p>
    <w:p>
      <w:r>
        <w:t>- 13 - de l’arrondissement de la Côte, B.S.________ a admis avoir muni le manteau de son fils d’un AirTag aux motifs qu’elle était « inquiète de l’absence répétée de nouvelles spontanées, du fait que le requérant confie l’enfant à des tiers sans annoncer ni leur nom, ni leur domicile […] pendant plusieurs jours, nonobstant des demandes en ce sens (pièce 102) et au vu de son devoir de protection et de surveillance » (P. 4/8). Au vu de ces éléments, il n’est pas exclu que B.S.________ puisse avoir voulu suivre les déplacements du recourant à son insu et s’être rendue coupable d’une infraction de l’art. 179sexies CP. Comme le relève le recourant, les parties sont opposées dans le cadre d’une procédure civile et la garde sur leur fils est litigieuse. A la lecture des messages que lui attribue le recourant, on constate que B.S.________ lui reproche d’avoir été infidèle, qu’elle est en colère contre lui et entend obtenir la garde de leur enfant. Par ailleurs, on ne voit pas l’intérêt de surveiller les déplacements de son enfant, dès lors qu’à son âge, il ne peut jamais être seul sans adulte. Enfin, le traceur ne permet pas de savoir avec qui l’enfant se trouve, mais seulement où il est. Il résulte de ce qui précède que le recours doit être admis sur ce point et le dossier renvoyé au Ministère public pour qu’il ouvre une enquête sur cette question.</w:t>
      </w:r>
    </w:p>
    <w:p>
      <w:r>
        <w:rPr>
          <w:b/>
        </w:rPr>
        <w:t>E. 2.3.1</w:t>
      </w:r>
    </w:p>
    <w:p>
      <w:r>
        <w:t>Le recourant reproche au Ministère public de ne pas avoir retenu que « les agissements de l’intimée – en particulier le fait d’avoir dissimulé un traceur GPS dans le manteau de l’enfant » – pouvaient être constitutifs de contrainte. Il relève qu’il a allégué dans sa plainte qu’il était effrayé et qu’il avait été poussé à prendre des précautions qu’il n’aurait pas prises autrement. Il se serait ainsi senti contraint de déposer une plainte pénale et une demande de mesures civiles afin de faire cesser cette pratique. Il précise ensuite que « la seule connaissance de l’existence d’un dispositif de géolocalisation [l’]a légitimement conduit […] à adapter son quotidien afin de limiter l’ingérence de l’intimée dans sa vie privée ou dans l’exercice de son droit de garde en recourant au dépôt</w:t>
      </w:r>
    </w:p>
    <w:p>
      <w:r>
        <w:t>- 14 - d’une plainte pénale et de mesures civiles », cette « adaptation » démontrant à elle seule l’impact concret et l’intensité de la contrainte psychologique subies. Enfin, le recourant a allégué que quand bien même le dépôt d’une plainte pénale et de mesures civiles ne suffirait pas à démontrer une altération de son comportement, une instruction devrait être ouverte afin de déterminer si, à tout le moins, l’infraction de contrainte sous la forme de la tentative pouvait être retenue.</w:t>
      </w:r>
    </w:p>
    <w:p>
      <w:r>
        <w:rPr>
          <w:b/>
        </w:rPr>
        <w:t>E. 2.3.2</w:t>
      </w:r>
    </w:p>
    <w:p>
      <w:r>
        <w:t>Aux termes de l’art. 181 CP,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Il peut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JdT 2017 IV 141 ; ATF 137 IV 326 consid. 3.3.1, JdT 2012 IV 279). La contrainte peut être réalisée par la somme de plusieurs comportements distincts de l'auteur, par exemple lorsque celui-ci importune sa victime par sa présence de manière répétée pendant une période prolongée ; chaque acte de harcèlement devenant susceptible d'entraver la liberté d'action de celle-ci est défini comme une contrainte commise par « stalking », c'est-à-dire par persécution obsessionnelle d'une personne (ATF 129 IV 262 consid. 2.3 à 2.5, JdT 2005 IV 207 ; Dupuis et al. [éd.], op. cit., n. 18 ad art. 181 CP). Toutefois, en l'absence d'une norme spécifique réprimant de tels faits en tant qu'ensemble d'actes formant une unité, l'art. 181 CP suppose, d'une part, que le comportement incriminé oblige la victime à agir, à tolérer ou à</w:t>
      </w:r>
    </w:p>
    <w:p>
      <w:r>
        <w:t>- 15 - omettre un acte et, d'autre part, que cet acte amène la victime à adopter un comportement déterminé (ATF 129 IV 262 consid. 2.4). L'intensité requise par l'art. 181 CP peut ainsi résulter du cumul de comportements divers ou de la répétition de comportements identiques sur une durée prolongée (cf. ATF 141 IV 437 consid. 3.2.2 ; TF 6B_1428/2016 du</w:t>
      </w:r>
    </w:p>
    <w:p>
      <w:r>
        <w:rPr>
          <w:b/>
        </w:rPr>
        <w:t>E. 2.3.3</w:t>
      </w:r>
    </w:p>
    <w:p>
      <w:r>
        <w:t>En l’espèce, le recourant allègue avoir été effrayé par le comportement de B.S.________ et avoir pris des mesures qu’il n’aurait pas prises autrement, à savoir déposer une plainte pénale et prendre des mesures civiles. A l’exception de ces actes de procédure, il n’allègue pas d’autres actes qu’il aurait été contraint de faire, de tolérer ou d’éviter, ni quels comportements il aurait été contraint d’adopter ou de modifier. Comme l’a relevé le procureur, il n’indique pas en quoi sa liberté d’action aurait été entravée. Par ailleurs, les échanges de messages qu’il a produits pour se plaindre du fait que B.S.________ suivrait ses déplacements datent des mois de septembre et novembre 2024. Or, ce n’est que le 10 mars 2025, soit plus de trois mois plus tard, qu’il a déposé une requête de mesures superprovisionnelles auprès du juge civil tendant à ce qu’une interdiction de périmètre soit prononcée à l’encontre de B.S.________ et le 21 mars 2025 qu’il a déposé une plainte pénale. Il ne ressort par ailleurs pas des pièces produites – et le recourant ne l’allègue au demeurant pas – que son épouse l’aurait importuné de manière répétée pendant une période prolongée ni qu’elle l’ait persécuté de manière obsessionnelle. Le Ministère public a en outre refusé d’entrer en matière sur les infractions d’injure, calomnie, diffamation, vol et violation de domicile dont se plaignait A.S.________ qui n’a pas motivé son recours sur ces questions. En définitive, on ne distingue aucun élément laissant entendre que le comportement reproché à B.S.________ puisse avoir atteint l’intensité suffisante pour réaliser les conditions strictes de la jurisprudence précitée relatives à la commission d’une contrainte par stalking.</w:t>
      </w:r>
    </w:p>
    <w:p>
      <w:r>
        <w:t>- 16 - Par conséquent, c’est à bon droit que le Ministère public a refusé d’entrer en matière sur la plainte en ce qui concerne la contrainte ou la tentative de contrainte.</w:t>
      </w:r>
    </w:p>
    <w:p>
      <w:r>
        <w:rPr>
          <w:b/>
        </w:rPr>
        <w:t>E. 3</w:t>
      </w:r>
    </w:p>
    <w:p>
      <w:r>
        <w:t>En définitive, le recours de A.S.________ doit être partiellement admis dans la mesure où il est recevable. L’ordonnance attaquée annulée en tant qu’elle concerne le fait d’avoir dissimulé à l’insu du plaignant un dispositif de traçage dans le manteau de son fils en lien avec l’infraction de l’art. 179sexies CP et le dossier de la cause renvoyé au Ministère public de l’arrondissement de la Côte pour qu’il procède dans le sens des considérants. L’ordonnance de non-entrée en matière sera confirmée pour le surplus. Vu le sort du recours, les frais de la procédure, constitués du seul émolument d'arrêt (art. 422 al. 1 CPP), par 1’650 fr. (art. 20 al. 1 TFIP [tarif des frais de procédure et indemnités en matière pénale du 28 septembre 2010 ; BLV 312.03.1]), seront mis par moitié, soit par 825 fr., à la charge de A.S.________, qui succombe partiellement (art. 428 al. 1 CPP). Le solde sera laissé à la charge de l’Etat (art. 428 al. 4 CPP). L’avance de frais de 770 fr. versée par A.S.________ à titre de sûretés sera imputée sur les frais mis à sa charge (art. 7 TFIP). A.S.________, qui a procédé avec l’assistance d’un avocat de choix et qui a obtenu partiellement gain de cause, a droit, de la part de l’Etat, à une indemnité pour les dépenses occasionnées par la procédure de recours (art. 429 al. 1 let. a CPP par renvoi de l’art. 436 al. 1 CPP). Il a conclu à cet égard à l’allocation d’un montant de 2'648 fr. 45. Ce montant est excessif. Au vu du mémoire déposé, de la nature de l’affaire et de l’absence de déterminations du Ministère public, il convient d’arrêter l’indemnité à laquelle il aurait pu prétendre s’il avait obtenu entièrement gain de cause à 1’500 fr., correspondant à cinq heures d’activité nécessaire d’avocat au tarif horaire de 300 fr. (art. 26a al. 3 TFIP), montant auquel il convient d’ajouter des débours forfaitaires à concurrence de 2 % des honoraires (art. 19 al. 2 TDC [tarif des dépens en</w:t>
      </w:r>
    </w:p>
    <w:p>
      <w:r>
        <w:t>- 17 - matière civile du 23 novembre 2010 ; BLV 270.11.6], applicable par renvoi de l’art. 26a al. 6 TFIP), par 30 fr., et la TVA au taux de 8,1 %, par 123 fr. 95, soit à 1’654 fr. au total en chiffres arrondis. Au vu du sort du recours, cette indemnité sera allouée par moitié, soit par 827 fr., au recourant.</w:t>
      </w:r>
    </w:p>
    <w:p>
      <w:r>
        <w:t>- 18 - Par ces motifs, la Chambre des recours pénale prononce : I. Le recours est admis partiellement, dans la mesure où il est recevable. II. L’ordonnance du 29 avril 2025 est annulée en tant qu’elle concerne le fait d’avoir dissimulé à l’insu du recourant un dispositif de traçage dans le manteau de son fils et l’infraction de mise en circulation et réclame en faveur d’appareils d’écoute, de prise de son et de prise de vues. L’ordonnance est confirmée pour le surplus. III. Le dossier est renvoyé au Ministère public pour qu’il procède dans le sens des considérants. IV. Les frais d’arrêt, par 1’650 fr. (mille six cent cinquante francs), sont mis par moitié, soit par 825 fr. (huit cent vingt-cinq francs), à la charge de A.S.________, le solde étant laissé à la charge de l’Etat. V. Le montant de 770 fr. (sept cent septante francs) versé par A.S.________ à titre de sûretés est imputé sur les frais mis à sa charge au chiffre IV ci-dessus, le solde dû à l’Etat s’élevant à 55 fr. (cinquante-cinq francs). VI. Une indemnité de 827 fr. (huit cent vingt-sept francs) est allouée à A.S.________ pour la procédure de recours, à la charge de l’Etat. VII. L’arrêt est exécutoire. Le président : La greffière :</w:t>
      </w:r>
    </w:p>
    <w:p>
      <w:r>
        <w:t>- 19 - Du Le présent arrêt, dont la rédaction a été approuvée à huis clos, est notifié, par l'envoi d'une copie complète, à : - Me Christian Dénériaz, avocat (pour A.S.________), - Ministère public central, et communiqué à : - M. le Procureur de l’arrondissement de la Côte, - Mme B.S.________,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