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PE25.006728 vom 1. Juli 2025</w:t>
      </w:r>
    </w:p>
    <w:p>
      <w:r>
        <w:t>VD Tribunal cantonal, 2025-07-01, FR</w:t>
      </w:r>
    </w:p>
    <w:p>
      <w:r>
        <w:rPr>
          <w:b/>
        </w:rPr>
        <w:t xml:space="preserve">Quelle: </w:t>
      </w:r>
      <w:r>
        <w:t>https://mcp.opencaselaw.ch/entscheid/vd_gerichte_PE25.006728</w:t>
      </w:r>
    </w:p>
    <w:p>
      <w:r>
        <w:t>FR: VD_GERICHTE PE25.006728 du 1 juillet 2025</w:t>
      </w:r>
    </w:p>
    <w:p>
      <w:r>
        <w:t>IT: VD_GERICHTE PE25.006728 del 1 luglio 2025</w:t>
      </w:r>
    </w:p>
    <w:p>
      <w:pPr>
        <w:pStyle w:val="Heading2"/>
      </w:pPr>
      <w:r>
        <w:t>Erwägungen</w:t>
      </w:r>
    </w:p>
    <w:p>
      <w:r>
        <w:rPr>
          <w:b/>
        </w:rPr>
        <w:t>E. 16</w:t>
      </w:r>
    </w:p>
    <w:p>
      <w:r>
        <w:t>mars 2023 consid. 4.1.6). L’infraction de gestion déloyale n’est consommée que s’il y a eu un préjudice (ATF 120 IV 190 précité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(ATF 142 IV 346 précité consid. 3.2 ; ATF 129 IV 124 consid. 3.1 ; TF 6B_280/2022 précité consid. 4.1.2 ; TF 6B_52/2022 précité consid. 4.1.6). L’infraction de gestion déloyale requiert l’intention, qui doit porter sur tous les éléments constitutifs. Le dol éventuel suffit, mais celui- ci doit être nettement et strictement caractérisé vu l’imprécision des éléments constitutifs objectifs de cette infraction (ATF 142 IV 346 précité consid. 3.2 ; TF 6B_52/2022 précité consid. 4.1.7). Agit dans un dessein d’enrichissement illégitime, celui qui vise, par ses actes, à se procurer un avantage économique auquel il n’a pas droit ou de procurer un tel avantage à un tiers qui n’y a pas droit. En</w:t>
      </w:r>
    </w:p>
    <w:p>
      <w:r>
        <w:t>- 10 -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 tel est le cas lorsque l’auteur envisage l’enrichissement comme possible et agit néanmoins, même s’il ne le souhaite pas, parce qu’il s’en accommode pour le cas où il se produirait (ATF 142 IV 346 précité consid. 3.2 ; ATF 105 IV 29 consid. 3a ; TF 6B_631/2022 du 2 mars 2023 consid. 3.1.2). Pour que l’infraction soit consommée, l’enrichissement n’a pas besoin de se réaliser, il suffit que l’auteur cherche à l’obtenir (Scheidegger/von Wurstemberger, Commentaire Romand, Code pénal II, 2017, n. 72 ad art. 158 CP ; Dupuis et alii, op. cit., n. 24 ad rem. prél. aux art. 137 ss CP). 2.3 2.3.1 Bien qu’il ait déposé plainte pénale contre B.________ également pour abus de confiance, le recourant se limite à soutenir, à l’appui de son recours, que celle-ci aurait commis à son préjudice des actes de gestion déloyale (art. 158 CP), dont les fonds dont il réclame le séquestre seraient le produit. En l’état, il n’y a pas lieu d’examiner plus avant la question de l’abus de confiance, sauf à rappeler, d’une part, que l’infraction de l’art. 138 ch. 1 al. 1 CP n’entre pas en ligne de compte puisque la chose prétendument confiée n’est pas un meuble et que, d’autre part, un immeuble ne constitue pas une valeur patrimoniale au sens de l’art. 138 ch. 1 al. 2 CP (De Preux/Hulliger, in : Macaluso/Moreillon/ Queloz [éd.], Commentaire romand, Code pénal II, Art. 111-392 CP, Bâle 2017, n. 31 ad art. 138 CP). 2.3.2 En l’espèce, à l’instar du Ministère public, il convient de retenir que les soupçons de commission d’une infraction sont insuffisants pour justifier le prononcé d’une mesure de contrainte à l’égard de B.________. En effet, selon la jurisprudence du Tribunal fédéral rappelée ci- avant (cf. supra consid. 2.2.2), la seule qualité de membre d’une société simple n’implique en elle-même chez celui qui la possède aucun pouvoir</w:t>
      </w:r>
    </w:p>
    <w:p>
      <w:r>
        <w:t>- 11 - ou devoir légal, contractuel, voire de fait, d’intervenir de façon indépendante dans les affaires d’autrui. Par ailleurs, le recourant ne conteste pas qu’il n’avait aucun droit réel sur l’immeuble vendu par B.________. A cet égard, pour qu’un apport en nature – dans le cas d’espèce un immeuble – soit apporté à la société en propriété (quoad dominium), encore faut-il que les règles propres au transfert du bien en cause soient respectées – acte authentique et inscription au registre foncier (Chaix, Commentaire romand, Code des obligations II, 3e éd., Bâle 2024, n. 4 ad art. 531 CO ; Handschin/Vonzun, Zürcher Kommentar, 4e éd. Zurich 2009, n. 51 ad art. 531 CO) –, ce qui n’a pas été le cas en l’espèce. Il n’est pas non plus nécessaire de se prononcer ici sur la délicate question de savoir si B.________ a limité son apport à l’usage de l’immeuble (quoad usum) ou si elle a consenti à un apport en destination (quoad sortem), question dont les juridictions civiles auront sans doute à trancher pour juger des rapports internes entre les deux associés (Chaix, ibidem). Dans ce contexte, le recourant considère deux cas de figure, selon que la vente litigieuse est intervenue avant ou après que la société simple est entrée en liquidation. Il reste que, dans la première, à supposer que B.________ ait excédé ses prérogatives de gérante en procédant à la vente de l’immeuble litigieux (cf. art. 535 al. 3 CO), on ne voit pas en quoi cet acte aurait pu occasionner un dommage au recourant, sauf à soutenir – ce que le recourant ne fait pas – l’hypothèse selon laquelle B.________ aurait vendu sa villa à vil prix, hypothèse d’autant plus invraisemblable qu’elle suppose que l’intéressée aurait sciemment agi contre ses propres intérêts. Dans le cas où la vente serait intervenue après que la société eût été dissoute, le recourant se prévaut de l’art. 550 al. 1 CO qui prévoit que la liquidation qui suit la dissolution doit être faite en commun par tous les associés, y compris ceux qui étaient exclus de la gestion. La liquidation externe de la société comprend la terminaison des affaires courantes, le recouvrement des créances et la réalisation des actifs sociaux, ainsi que le règlement des dettes, tandis que la liquidation interne implique le remboursement des dépenses et avances, la restitution des apports et la répartition des bénéfices et des pertes (Chaix, op. cit., nn. 9 ss ad art. 548- 550 CO). Dans le cas d’espèce, dès lors que l’immeuble litigieux n’a pas</w:t>
      </w:r>
    </w:p>
    <w:p>
      <w:r>
        <w:t>- 12 - été transféré à la société en propriété, il a fait retour, dès la dissolution de la société, à B.________ qui en avait fait l’apport quoad usum ou quoad sortem (Handschin/Vonzun, Zürcher Kommentar, op. cit., n. 179 ad art. 548-551 CO). On ne peut donc pas interpréter sa vente comme constituant la réalisation d’un actif de la société et, partant, une opération de liquidation qui aurait dû être conduite en commun par les associés, étant relevé qu’on ne conçoit d’ailleurs pas que le fait que B.________ ait utilisé une partie du produit de la vente pour rembourser l’emprunt hypothécaire dont les parties étaient débitrices en commun ait pu causer quelque dommage que ce soit au recourant. Pour le reste, le recourant ne soutient pas, ni a fortiori ne rend vraisemblable, que B.________ serait sur le point de celer ou de dilapider le produit de la vente de l’immeuble. A supposer qu’elle le fasse, le recourant ne pourrait toutefois prétendre à l’exercice d’un droit particulier sur lesdites valeurs patrimoniales, dans la mesure où il pourrait uniquement faire valoir contre B.________, après que le bilan comptable de la société aura été arrêté, une créance – et donc un droit relatif – tendant au remboursement de ses dépenses et/ou avances, ainsi qu’au paiement de sa part à un éventuel bénéfice, créance en garantie de laquelle le produit de la vente de l’immeuble n’est pas particulièrement affecté. Dans ces conditions, il n’existe pas de soupçons suffisants laissant supposer la commission, par B.________, d’une infraction. Partant, c’est à bon droit que le procureur a refusé d’ordonner le séquestre pénal du produit net de la villa de B.________. Le fait qu’il n’existerait, selon le recourant, aucune voie de droit civil lui permettant d’obtenir la sauvegarde de la substance du produit de la vente n’y change rien. 3. En définitive, le recours, manifestement mal fondé, doit être rejeté, sans échange d’écritures (art. 390 al. 2 CP) et l’ordonnance entreprise confirmée. Vu le sort du recours, les frais de la procédure, constitués en l’espèce de l’émolument d’arrêt, par 1’320 fr. (art. 20 al. 1 TFIP [tarif des</w:t>
      </w:r>
    </w:p>
    <w:p>
      <w:r>
        <w:t>- 13 - frais de procédure et indemnités en matière pénale du 28 septembre 2010 ; BLV 312.03.1]), doivent être mis à la charge du recourant, qui succombe (art. 428 al. 1 CPP). Par ces motifs, la Chambre des recours pénale prononce : I. Le recours est rejeté. II. L’ordonnance du 10 juin 2025 est confirmée. III. Les frais d’arrêt, par 1'320 fr. (mille trois cent vingt francs), sont mis à la charge de K.________. IV. L’arrêt est exécutoire. Le président : La greffière : Du Le présent arrêt, dont la rédaction a été approuvée à huis clos, est notifié, par l’envoi d’une copie complète, à : - Me Mathias Micsiz, avocat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