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PE25.006381 vom 19. Februar 2026</w:t>
      </w:r>
    </w:p>
    <w:p>
      <w:r>
        <w:t>VD Tribunal cantonal, 2026-02-19, FR</w:t>
      </w:r>
    </w:p>
    <w:p>
      <w:r>
        <w:rPr>
          <w:b/>
        </w:rPr>
        <w:t xml:space="preserve">Quelle: </w:t>
      </w:r>
      <w:r>
        <w:t>https://mcp.opencaselaw.ch/entscheid/vd_gerichte_PE25.006381</w:t>
      </w:r>
    </w:p>
    <w:p>
      <w:r>
        <w:t>FR: VD_GERICHTE PE25.006381 du 19 février 2026</w:t>
      </w:r>
    </w:p>
    <w:p>
      <w:r>
        <w:t>IT: VD_GERICHTE PE25.006381 del 19 febbraio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et les références citées ; TF 1B_318/2021 du 25 janvier 2022 consid. 4.1 ; TF 6B_191/2021 du 11 août 2021 consid. 2 ; Keller, in: Donatsch/Lieber/Summers/Wohlers [éd.], Zürcher Kommentar, Kommentar zur Schweizerischen Strafprozessordnung, 3e éd. 2020, n. 14 ad art. 396 StPO et les références citées ; Calame, in : Jeanneret/Kuhn/Perrier Depeursinge [éd.], Commentaire romand, Code de procédure pénale suisse, 2e éd. 2019, n. 21 ad art. 385 CPP ; Guidon, in : Basler Kommentar, op. cit., n. 9c ad art. 396 StPO et les références citées). 12J010</w:t>
      </w:r>
    </w:p>
    <w:p>
      <w:r>
        <w:t>- 4 -</w:t>
      </w:r>
    </w:p>
    <w:p>
      <w:r>
        <w:rPr>
          <w:b/>
        </w:rPr>
        <w:t>E. 1.2</w:t>
      </w:r>
    </w:p>
    <w:p>
      <w:r>
        <w:t>En l’espèce, le recours a été interjeté en temps utile, devant l’autorité compétente, par la prévenue, qui a la qualité pour recourir (art. 382 al. 1 CPP). Autre est toutefois la question de savoir s’il satisfait aux exigences légales quant à sa forme et à sa motivation.</w:t>
      </w:r>
    </w:p>
    <w:p>
      <w:r>
        <w:rPr>
          <w:b/>
        </w:rPr>
        <w:t>E. 1.3</w:t>
      </w:r>
    </w:p>
    <w:p>
      <w:r>
        <w:t>12J010</w:t>
      </w:r>
    </w:p>
    <w:p>
      <w:r>
        <w:t>- 3 -</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 ordnung, Art. 196-457 StPO – Art. 1-54 JStPO, 3e éd., Bâle 2023, [ci-après : Basler Kommentar], n. 1a ad art. 385 StPO).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w:t>
      </w:r>
    </w:p>
    <w:p>
      <w:r>
        <w:rPr>
          <w:b/>
        </w:rPr>
        <w:t>E. 1.3.2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L’art. 385 al. 2, 1re phrase, CPP vise uniquement à protéger le justiciable contre un formalisme excessif de la part de l’autorité. Cette disposition ne permet toutefois pas de remédier à un défaut de motivation dans le mémoire en question (TF 7B_11/2024 du 27 juin 2025 consid. 3.2 et les références citées ;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1.4.1</w:t>
      </w:r>
    </w:p>
    <w:p>
      <w:r>
        <w:t>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CREP 2 octobre 2023/808).</w:t>
      </w:r>
    </w:p>
    <w:p>
      <w:r>
        <w:rPr>
          <w:b/>
        </w:rPr>
        <w:t>E. 1.4.2</w:t>
      </w:r>
    </w:p>
    <w:p>
      <w:r>
        <w:t>En l’espèce, la recourante plaide le fond de la cause et semble vouloir se défendre contre les soupçons qui sont portés contre elle dans les deux enquêtes. Ce faisant, elle n’invoque aucun moyen dirigé contre leur jonction, seul objet de l’ordonnance en cause, respectivement contre le motif de la décision, déduit du caractère connexe des causes. 12J010</w:t>
      </w:r>
    </w:p>
    <w:p>
      <w:r>
        <w:t>- 5 - Cette motivation ne satisfait pas aux réquisits légaux, faute de porter sur l’objet de l’ordonnance que la recourante dit contester. En outre, la conclusion tendant au prononcé d’une ordonnance de non-entrée en matière est exorbitante de l’objet du litige. Partant, elle est irrecevable. La Cour relève néanmoins qu’il sera loisible à la prévenue de faire valoir ses moyens portant sur le sort de l’action pénale après la jonction des causes, donc indépendamment de celle-ci, s’agissant en particulier de l’argument déduit du versement de 20 fr. qu’elle soutient avoir effectué le 4 décembre 2025 en faveur de la plaignante ***.</w:t>
      </w:r>
    </w:p>
    <w:p>
      <w:r>
        <w:rPr>
          <w:b/>
        </w:rPr>
        <w:t>E. 1.4.3</w:t>
      </w:r>
    </w:p>
    <w:p>
      <w:r>
        <w:t>Ainsi, l’acte de recours ne comporte aucun moyen à l’appui de ses conclusions, dirigé contre les motifs ou le dispositif de l’ordonnance et qui, en se référant aux considérants de la décision attaquée, commanderait de rendre une autre décision. L’acte de recours ne satisfait dès lors pas aux exigences de motivation de l'art. 385 al. 1 CPP. Un tel défaut de motivation ne saurait justifier qu'un délai supplémentaire soit imparti à la recourante pour compléter son acte en application de l'art. 385 al. 2 CPP.</w:t>
      </w:r>
    </w:p>
    <w:p>
      <w:r>
        <w:rPr>
          <w:b/>
        </w:rPr>
        <w:t>E. 2</w:t>
      </w:r>
    </w:p>
    <w:p>
      <w:r>
        <w:t>Il résulte de ce qui précède que le recours doit être déclaré irrecevable, sans échange d’écritures (art. 390 al. 2 CPP). Les frais de la procédure de recours, constitués en l'espèce de l'émolument d'arrêt, par 550 fr. (art. 20 al. 1 TFIP [tarif des frais de procédure et indemnités en matière pénale du 28 septembre 2010 ; BLV 312.03.1]), seront mis à la charge de la recourante, qui succombe (art. 428 al. 1 CPP). 12J010</w:t>
      </w:r>
    </w:p>
    <w:p>
      <w:r>
        <w:t>- 6 - Par ces motifs, la Chambre des recours pénale prononce : I. Le recours est irrecevable. II. Les frais d’arrêt, par 550 fr. (cinq cent cinquante francs), sont mis à la charge de B.________. III. L’arrêt est exécutoire. La présidente : Le greffier : Du Le présent arrêt, dont la rédaction a été approuvée à huis clos, est notifié, par l'envoi d'une copie complète, à : - Mme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