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PE25.005547 vom 10. September 2025</w:t>
      </w:r>
    </w:p>
    <w:p>
      <w:r>
        <w:t>VD Tribunal cantonal, 2025-09-10, FR</w:t>
      </w:r>
    </w:p>
    <w:p>
      <w:r>
        <w:rPr>
          <w:b/>
        </w:rPr>
        <w:t xml:space="preserve">Quelle: </w:t>
      </w:r>
      <w:r>
        <w:t>https://mcp.opencaselaw.ch/entscheid/vd_gerichte_PE25.005547</w:t>
      </w:r>
    </w:p>
    <w:p>
      <w:r>
        <w:t>FR: VD_GERICHTE PE25.005547 du 10 septembre 2025</w:t>
      </w:r>
    </w:p>
    <w:p>
      <w:r>
        <w:t>IT: VD_GERICHTE PE25.005547 del 10 settembre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déposé en temps utile devant l’autorité compétente par les parties plaignantes qui ont qualité pour recourir (art. 382 al. 1 CPP) et dans les formes prescrites (art. 385 al. 1 CPP), le recours est recevable.</w:t>
      </w:r>
    </w:p>
    <w:p>
      <w:r>
        <w:rPr>
          <w:b/>
        </w:rPr>
        <w:t>E. 2.1</w:t>
      </w:r>
    </w:p>
    <w:p>
      <w:r>
        <w:t>Les recourants considèrent que les éléments constitutifs de l’infraction d’escroquerie seraient réalisés. Les prévenus n’auraient jamais eu l’intention de payer les prestations commandées, puisqu’ils avaient rapidement pris du retard dans le paiement des acomptes. Afin de garantir que les recourants continuent de travailler malgré l’absence de paiement, les prévenus auraient instauré un climat de confiance, abusé de la situation financière précaire des recourants et exercé de la pression sur ces derniers en leur indiquant qu’ils avaient été contraints de résilier leur précédent bail et de trouver une solution de secours dans l’attente de la fin des travaux. Les prévenus auraient refusé de payer les travaux supplémentaires commandés et n’auraient pas même réglé le montant du devis initial de 120'000 francs. Les recourants allèguent encore que les prévenus attendraient la faillite de T.________ Sàrl dans le but de clôturer le dossier de façon avantageuse.</w:t>
      </w:r>
    </w:p>
    <w:p>
      <w:r>
        <w:t>- 4 - Au regard de ces éléments, les recourants estiment que le Ministère public ne pouvait pas se contenter de constater qu’il existait des prétentions civiles pour refuser d’instruire l’affaire. Le préjudice étant de plus de 200'000 fr., il serait impératif de faire répondre les prévenus de leurs actes, tant au plan civil que pénal.</w:t>
      </w:r>
    </w:p>
    <w:p>
      <w:r>
        <w:rPr>
          <w:b/>
        </w:rPr>
        <w:t>E. 2.2.1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146 IV 68 consid. 2.1 ; ATF 143 IV 241 consid. 2.2.1 ; TF 7B_107/2023 du 20 novembre 2024 consid. 2.1.2). En d'autres termes, il faut être certain que l'état de fait ne constitue aucune infraction.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 entrée en matière dans les cas où il apparaît d’emblée qu’aucun acte d’enquête ne pourra apporter la preuve d’une infraction à la charge d’une personne déterminée (TF 6B_541/2017 du 20 décembre 2017 consid. 2.2).</w:t>
      </w:r>
    </w:p>
    <w:p>
      <w:r>
        <w:t>- 5 -</w:t>
      </w:r>
    </w:p>
    <w:p>
      <w:r>
        <w:rPr>
          <w:b/>
        </w:rPr>
        <w:t>E. 2.2.2</w:t>
      </w:r>
    </w:p>
    <w:p>
      <w:r>
        <w:t>Aux termes de l'art. 146 CP (Code pénal suisse du 21 décembre 1937; RS 311.0),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150 IV 169 consid. 5.1.2 ; ATF 147 IV 73 consid. 3.2 ; ATF 143 IV 302 consid. 1.4.1 ; TF 6B_55/2025 du 2 avril 2025 consid. 2.1.2 et les références citées).</w:t>
      </w:r>
    </w:p>
    <w:p>
      <w:r>
        <w:t>- 6 - La tromperie astucieuse doit amener la dupe, dans l'erreur, à accomplir un acte préjudiciable à ses intérêts pécuniaires ou à ceux d'un tiers. L'erreur créée ou confortée par la tromperie doit motiver l'acte. En d'autres termes, il doit exister un rapport de causalité ou de motivation entre l'acte de disposition de la dupe et l'erreur, créée ou confortée par la tromperie (ATF 150 IV 169 consid. 5 ; ATF 128 IV 255 consid. 2e/aa). L'acte de disposition peut consister en tout acte ou omission qui cause « directement » un préjudice au patrimoine de la dupe ou d'un tiers, sans qu'une intervention supplémentaire de l'auteur ne soit nécessaire. L'existence d'une telle immédiateté résulte de la définition même de l'escroquerie, qui implique notamment que le dommage soit causé par un acte de disposition de la dupe elle-même (« Selbstschädigung » ; ATF 128 IV 255 consid. 2e/aa ; TF 6B_55/2025 précité consid. 2.1.3 et les références citées).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6B_904/2024 du 23 juin 2025 consid. 1.1 et les références citées).</w:t>
      </w:r>
    </w:p>
    <w:p>
      <w:r>
        <w:rPr>
          <w:b/>
        </w:rPr>
        <w:t>E. 2.3</w:t>
      </w:r>
    </w:p>
    <w:p>
      <w:r>
        <w:t>En l’espèce, il est manifeste que les éléments constitutifs de l’infraction d’escroquerie ne sont pas réalisés. Il ressort du décompte final de T.________ Sàrl daté du 29 janvier 2024 (recte : 2025) que les prévenus se sont acquittés d’acomptes à hauteur de 100'000 fr., ce qui correspond au montant du devis initial du 18 juillet 2024, sous déduction de diverses moins-values. Le montant de 218'754 fr. 15 que les recourants estiment encore dû se rapporte pour sa part aux travaux supplémentaires qui auraient été demandés après l’établissement du devis initial (P. 4/7). Le dernier échange entre les parties au sujet de leur litige figurant au dossier est un courriel du 13 février 2025 d’A.Z.________ adressé à B.________ dans lequel le prévenu s’étonne du montant de la facture du 29 janvier 2025 et indique qu’ils n’envisageront pas d’en régler le montant tant que le détail précis des travaux réalisés, justificatifs à l’appui, ne leur aura pas été</w:t>
      </w:r>
    </w:p>
    <w:p>
      <w:r>
        <w:t>- 7 - transmis (P. 4/8). Il ne ressort pas des éléments qui précèdent que les prévenus n’auraient jamais eu la volonté de s’acquitter du montant des travaux, comme le prétendent les recourants, mais uniquement qu’il existe entre les parties un différend d’ordre civil sur le montant facturé. S’agissant de l’allégation des recourants que les époux Z.________ entendraient compter sur une mise en faillite de T.________ Sàrl pour « clôturer [le] dossier de façon très avantageuse pour eux », il s’agit d’une pure spéculation dès lors que les travaux ont été commandés il y a plus d’un an et que la faillite de T.________ Sàrl n’a pas à ce jour été requise. Il n’apparaît ainsi pas qu’il y ait eu une quelconque tromperie ni que les prévenus aient été mus par un dessein d’enrichissement illégitime. En outre, même à admettre avec les recourants que les époux Z.________ n’auraient pas été entièrement honnêtes avec eux, on ne saurait retenir l’existence d’une astuce. Il était aisé pour les recourants de se prémunir contre une éventuelle volonté des prévenus de ne pas s’acquitter du montant des travaux en arrêtant ceux-ci une fois que le retard allégué dans le paiement des acomptes avait été constaté. C’est d’ailleurs précisément pour disposer de cette possibilité que les entrepreneurs demandent le versement d’acomptes. On ne peut au demeurant considérer qu’en faisant part de leur situation de logement précaire due aux travaux en cause les prévenus auraient usé de la gentillesse des recourants en créant un lien de confiance particulier qui aurait justifié que ceux-ci passent outre la prudence qui était attendue de leur part dans leur relation contractuelle avec les prévenus. En définitive, les éléments constitutifs de l'infraction d'escroquerie ne sont manifestement pas réalisés. C’est donc à bon droit que le Ministère public a refusé d’entrer en matière sur la plainte de B.________ et T.________ Sàrl, en application de l'art. 310 al. 1 let. a CPP. Pour le surplus, il convient de préciser que les recourants disposent toujours de la possibilité d’agir sur le plan civil pour faire valoir leurs droits, ce qu’ils ont déjà fait puisqu’ils ont déposé deux réquisitions de poursuites et ont demandé l’inscription d’une hypothèque légale des artisans et entrepreneurs en leur faveur (P. 10).</w:t>
      </w:r>
    </w:p>
    <w:p>
      <w:r>
        <w:t>- 8 -</w:t>
      </w:r>
    </w:p>
    <w:p>
      <w:r>
        <w:rPr>
          <w:b/>
        </w:rPr>
        <w:t>E. 3</w:t>
      </w:r>
    </w:p>
    <w:p>
      <w:r>
        <w:t>Au vu de ce qui précède, le recours, manifestement mal fondé, doit être rejeté sans échange d’écritures (art. 390 al. 2 CPP) et l’ordonnance entreprise confirmée. Les frais de procédure, constitués du seul émolument de décision, par 880 fr. (art. 20 al. 1 TFIP [tarif des frais de procédure et indemnités en matière pénale du 28 septembre 2010 ; BLV 312.03.1]), seront mis à la charge de B.________ et T.________ Sàrl qui succombent (art. 428 al. 1 CPP), à parts égales et solidairement entre eux (art. 418 al. 1 et 2 CPP). Le montant de 770 fr. versé par les recourants à titre de sûretés sera imputé sur ces frais (art. 383 al. 1 CPP ; art. 7 TFIP). Le solde dû par ceux-ci s’élève à 110 francs. Par ces motifs, la Chambre des recours pénale prononce : I. Le recours est rejeté. II. L’ordonnance du 3 juillet 2025 est confirmée. III. Les frais d’arrêt, par 880 fr. (huit cent huitante francs), sont mis à la charge de B.________ et T.________ Sàrl, à parts égales et solidairement entre eux. IV. Le montant de 770 fr. (sept cent septante francs) versé par B.________ et T.________ Sàrl à titre de sûretés est imputé sur les frais mis à leur charge au chiffre III ci-dessus, le solde dû par ceux-ci à l’Etat s’élevant à 110 fr. (cent dix francs). V. L’arrêt est exécutoire. Le président : Le greffier :</w:t>
      </w:r>
    </w:p>
    <w:p>
      <w:r>
        <w:t>- 9 - Du Le présent arrêt, dont la rédaction a été approuvée à huis clos, est notifié, par l'envoi d'une copie complète, à : - Me Lionel Zeiter, avocat (pour B.________ et T.________ Sàrl),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