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PE25.005466 vom 26. März 2025</w:t>
      </w:r>
    </w:p>
    <w:p>
      <w:r>
        <w:t>VD Tribunal cantonal, 2025-03-26, FR</w:t>
      </w:r>
    </w:p>
    <w:p>
      <w:r>
        <w:rPr>
          <w:b/>
        </w:rPr>
        <w:t xml:space="preserve">Quelle: </w:t>
      </w:r>
      <w:r>
        <w:t>https://mcp.opencaselaw.ch/entscheid/vd_gerichte_PE25.005466</w:t>
      </w:r>
    </w:p>
    <w:p>
      <w:r>
        <w:t>FR: VD_GERICHTE PE25.005466 du 26 mars 2025</w:t>
      </w:r>
    </w:p>
    <w:p>
      <w:r>
        <w:t>IT: VD_GERICHTE PE25.005466 del 26 marzo 2025</w:t>
      </w:r>
    </w:p>
    <w:p>
      <w:pPr>
        <w:pStyle w:val="Heading2"/>
      </w:pPr>
      <w:r>
        <w:t>Erwägungen</w:t>
      </w:r>
    </w:p>
    <w:p>
      <w:r>
        <w:rPr>
          <w:b/>
        </w:rPr>
        <w:t>E. 5.1</w:t>
      </w:r>
    </w:p>
    <w:p>
      <w:r>
        <w:t>Le recourant conteste ensuite l’existence d’un risque de collusion. Il explique avoir donné tous les détails de sa première relation sexuelle avec la plaignante, qui se serait déroulée dans la chambre de la cousine de celle-ci, L.________, laquelle aurait au même moment entretenu une relation sexuelle avec son copain U.________. Il relève avoir expressément demandé les auditions de L.________ et de U.________ afin de le disculper. Il estime qu’il n’y a aucune mesure d’instruction concrète qui justifierait son maintien en détention.</w:t>
      </w:r>
    </w:p>
    <w:p>
      <w:r>
        <w:rPr>
          <w:b/>
        </w:rPr>
        <w:t>E. 5.2</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preuves.</w:t>
      </w:r>
    </w:p>
    <w:p>
      <w:r>
        <w:t>- 13 - Le placement en détention provisoire peut ainsi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Entrent aussi en considération la nature et l’importance des déclarations, respectivement des moyens de preuves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précité consid. 4.2 ; ATF 132 I 21 consid. 3.2 et les références citées ; TF 1B_132/2022 du 25 mars 2022 consid. 3.1 ; TF 1B_358/2021 du 16 juillet 2021 consid. 4.2).</w:t>
      </w:r>
    </w:p>
    <w:p>
      <w:r>
        <w:t>- 14 -</w:t>
      </w:r>
    </w:p>
    <w:p>
      <w:r>
        <w:rPr>
          <w:b/>
        </w:rPr>
        <w:t>E. 5.3</w:t>
      </w:r>
    </w:p>
    <w:p>
      <w:r>
        <w:t>En l’espèce, le Ministère public a évoqué les besoins de l’enquête pour justifier la détention du recourant. Compte tenu des déclarations de A.D.________, selon lesquelles d’autres filles mineures auraient été en contact avec le recourant, de l’aveu de celui-ci s’agissant de la fellation prodiguée par la dénommée K.________ ainsi que du message d’[...], à teneur duquel le recourant lui demande de le « branler », on constate que l’enquête n’en est qu’à ses débuts et que le Ministère public sera amené à procéder à plusieurs auditions afin de circonscrire l’étendue de l’éventuelle activité délictueuse du recourant. Les auditions de L.________ et U.________ n’ont en outre, à la connaissance de la Chambre de céans, pas encore été effectuées. Il apparaît également que l’extraction des données contenues dans le téléphone portable du prévenu ainsi que dans son matériel informatique serait toujours en cours. Il est essentiel de connaître le résultat de ces investigations et il est primordial que le recourant n’interfère pas dans ces mesures d’instruction, le risque qu’il prenne contact avec les personnes précitées en cas de libération étant bien concret. On précisera encore que selon B.D.________, sa fille était sous l’emprise du recourant, si bien que des filles plus jeunes que A.D.________ pourraient également être influençables. Elles doivent pouvoir s’exprimer librement et il y a lieu de les préserver. Par conséquent, l’existence d’un risque de collusion est avérée. Un motif de détention étant réalisé, il n’est pas nécessaire d'examiner si d'autres motifs de détention pourraient être remplis, les conditions prévues par l’art. 221 al. 1 CPP étant alternatives (cf. TF 7B_868/2023 du 1er décembre 2023 consid. 5.4 ; TF 7B_842/2023 du 9 novembre 2023 consid. 3.4 ; TF 7B_707/2023 du 13 octobre 2023 consid. 3.4 ; TF 1B_120/2023 du 21 mars 2023 consid. 3.2).</w:t>
      </w:r>
    </w:p>
    <w:p>
      <w:r>
        <w:rPr>
          <w:b/>
        </w:rPr>
        <w:t>E. 6.1</w:t>
      </w:r>
    </w:p>
    <w:p>
      <w:r>
        <w:t>Le recourant n’a proposé aucune mesure de substitution à la détention au sens de l’art. 237 CPP. Comme l’a relevé à juste titre le Tribunal des mesures de contrainte, il n’en existe aucune susceptible de pallier le risque de collusion retenu, les mesures proposées par le recourant en première instance – qu’il n’a pas réitérées – ne dépendaient</w:t>
      </w:r>
    </w:p>
    <w:p>
      <w:r>
        <w:t>- 15 - que de sa bonne volonté, d’une part, et n’auraient permis de constater la concrétisation du risque qu’a posteriori, d’autre part.</w:t>
      </w:r>
    </w:p>
    <w:p>
      <w:r>
        <w:rPr>
          <w:b/>
        </w:rPr>
        <w:t>E. 6.2</w:t>
      </w:r>
    </w:p>
    <w:p>
      <w:r>
        <w:t>Compte tenu des infractions qui sont reprochées au recourant et de la peine qu’il est susceptible de se voir infliger en cas de condamnation, le principe de la proportionnalité découlant de l’art. 212 al. 3 CPP est à ce stade respecté.</w:t>
      </w:r>
    </w:p>
    <w:p>
      <w:r>
        <w:rPr>
          <w:b/>
        </w:rPr>
        <w:t>E. 7</w:t>
      </w:r>
    </w:p>
    <w:p>
      <w:r>
        <w:t>En définitive, le recours doit être rejeté et l’ordonnance entreprise confirmée. Il convient d’allouer à Me Jean-Nicolas Roud, défenseur d’office du recourant, une indemnité pour la procédure de recours. A défaut de liste d’opérations et compte tenu de l’acte de recours ainsi que des déterminations spontanées, cette indemnité peut être arrêtée à 794 fr. en chiffres arrondis, correspondant à 4 heures d’activité nécessaire d’avocat au tarif horaire de 180 fr., plus des débours forfaitaires à concurrence de 2 %, par 14 fr. 40, et la TVA, par 59 fr. 50. Les frais de la procédure de recours, constitués en l’espèce de l’émolument d’arrêt, par 1’540 fr. (art. 20 al. 1 TFIP [Tarif des frais judiciaires de procédure et indemnités en matière pénale du 28 septembre 2010 ; BLV 312.03.1]), ainsi que des frais imputables à la défense d’office, par 794 fr., seront mis à la charge du recourant, qui succombe (art. 428 al. 1 CPP). Le remboursement à l’Etat de l’indemnité allouée au défenseur d’office du recourant ne sera toutefois exigible que pour autant que la situation financière de ce dernier le permette (art. 135 al. 4 CPP).</w:t>
      </w:r>
    </w:p>
    <w:p>
      <w:r>
        <w:t>- 16 - Par ces motifs, la Chambre des recours pénale prononce : I. Le recours est rejeté. II. L’ordonnance du 12 mars 2025 est confirmée. III. L’indemnité allouée à Me Jean-Nicolas Roud, est fixée à 794 fr. (sept cent nonante-quatre francs). IV. Les frais d’arrêt, par 1’540 fr. (mille cinq cent quarante francs), ainsi que l’indemnité due au défenseur d’office, par 794 fr. (sept cent nonante-quatre francs), sont mis à la charge de ce dernier. V. Le remboursement à l’Etat de l’indemnité allouée au chiffre III ci-dessus ne sera exigible que pour autant que la situation financière de F.________ le permette. VI. L’arrêt est exécutoire. Le président : Le greffier : Du Le présent arrêt, dont la rédaction a été approuvée à huis clos, est notifié, par l'envoi d'une copie complète, à : - Me Jean-Nicolas Roud, avocat (pour F.________), - Ministère public central, et communiqué à : - M. le Président du Tribunal des mesures de contrainte, - Mme la Procureure de l’arrondissement de Lausanne, par l’envoi de photocopies.</w:t>
      </w:r>
    </w:p>
    <w:p>
      <w:r>
        <w:t>- 17 -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