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PE25.004267 vom 28. Mai 2025</w:t>
      </w:r>
    </w:p>
    <w:p>
      <w:r>
        <w:t>VD Tribunal cantonal, 2025-05-28, FR</w:t>
      </w:r>
    </w:p>
    <w:p>
      <w:r>
        <w:rPr>
          <w:b/>
        </w:rPr>
        <w:t xml:space="preserve">Quelle: </w:t>
      </w:r>
      <w:r>
        <w:t>https://mcp.opencaselaw.ch/entscheid/vd_gerichte_PE25.004267</w:t>
      </w:r>
    </w:p>
    <w:p>
      <w:r>
        <w:t>FR: VD_GERICHTE PE25.004267 du 28 mai 2025</w:t>
      </w:r>
    </w:p>
    <w:p>
      <w:r>
        <w:t>IT: VD_GERICHTE PE25.004267 del 28 maggio 2025</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de la police, du Ministère public et des autorités pénales compétentes en matière de contraventions. En particulier, une décision du Ministère public refusant d’ordonner une défense d’office ou refusant l'assistance judiciaire peut faire l'objet d'un recours aux conditions des art. 393 ss CPP (Harari/ Corminboeuf Harari, in Jeanneret et al. [éd.] : Commentaire romand, Code de procédure pénale suisse [CR CPP], 2e éd. 2019, n. 11 ad art. 132 CPP et n. 16 ad art. 136 CPP).</w:t>
      </w:r>
    </w:p>
    <w:p>
      <w:r>
        <w:t>- 7 -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par la prévenue qui a qualité pour recourir (art. 382 al. 1 CPP), et satisfaisant aux conditions de forme prescrites (art. 385 al. 1 CPP), le recours d’A.B.________ est recevable. Les pièces nouvelles produites avec le mémoire de recours sont également recevables.</w:t>
      </w:r>
    </w:p>
    <w:p>
      <w:r>
        <w:rPr>
          <w:b/>
        </w:rPr>
        <w:t>E. 1.3</w:t>
      </w:r>
    </w:p>
    <w:p>
      <w:r>
        <w:t>En vertu de l’art. 395 al. 1 let. a CPP, si l’autorité de recours est un tribunal collégial, sa direction de la procédure statue seule sur le recours lorsqu’il porte exclusivement sur des contraventions. Tel est le cas en l’espèce, de sorte qu'un juge de la Chambre des recours pénale est compétent pour statuer en tant que juge unique dans la présente procédure (art. 13 al. 2 LVCPP ; CREP 11 janvier 2016/21).</w:t>
      </w:r>
    </w:p>
    <w:p>
      <w:r>
        <w:rPr>
          <w:b/>
        </w:rPr>
        <w:t>E. 2</w:t>
      </w:r>
    </w:p>
    <w:p>
      <w:r>
        <w:t>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est en détention, s'il encourt une révocation de l'autorisation</w:t>
      </w:r>
    </w:p>
    <w:p>
      <w:r>
        <w:t>- 9 - d'exercer sa profession ou s'il risque de perdre la garde de ses enfants (TF 1B_510/2022 du 16 décembre 2022 consid. 3.1 ; TF 1B_370/2022 du 1er décembre 2022 consid. 2.1.2).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1B_510/2022 précité consid. 3.2 ; TF 1B_370/2022 précité consid. 2.1.1). S'agissant de la difficulté objective de la cause, à l'instar de ce qu'elle a développé en rapport avec les chances de succès d'un recours (ATF 139 III 396 consid. 1.2 ; ATF 129 I 129 consid. 2.3.1 ; TF 1B_510/2022 précité consid. 3.2), la jurisprudence impose de se demander si une personne raisonnable et de bonne foi, qui présenterait les mêmes caractéristiques que le requérant mais disposerait de ressources suffisantes, ferait ou non appel à un avocat (ATF 140 V 521 consid. 9.1 ; TF 1B_510/2022 précité consid. 3.2). La difficulté objective d'une cause est admise sur le plan juridique lorsque la subsomption des faits donne lieu à des doutes, que ce soit de manière générale ou dans le cas particulier (TF 1B_510/2022 précité consid. 3.2 ; TF 1B_370/2022 précité consid. 2.1.1). Quant à la difficulté subjective d'une cause, outre les éléments indiqués plus haut,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1B_510/2022 précité consid. 3.2 ; TF 1B_370/2022 précité consid. 2.1.1 ; CREP 12 mai 2023/377).</w:t>
      </w:r>
    </w:p>
    <w:p>
      <w:r>
        <w:rPr>
          <w:b/>
        </w:rPr>
        <w:t>E. 2.1</w:t>
      </w:r>
    </w:p>
    <w:p>
      <w:r>
        <w:t>La recourante invoque notamment une violation de l’art. 132 al. 1 let. b CPP. Sur le plan objectif, elle rappelle qu’elle est en instance de divorce, que la séparation d’avec son époux a été particulièrement houleuse et que la procédure pénale dont il est question ici est susceptible d’avoir un impact important sur la procédure civile. Elle explique que [...] a déjà fait usage de poursuites pénales à son encontre pour tenter de récupérer la garde de leur fils. Elle rappelle que la garde de l’enfant B.B.________ lui a été retirée provisoirement et qu’elle risque ainsi de la perdre sur le long terme. Dans ce contexte, l’issue de la procédure pénale a une importance particulière et tout individu raisonnable qui se trouverait dans sa situation aurait recours à un avocat afin de minimiser les risques que son enfant lui soit retiré sur la base d’une décision pénale défavorable. Par ailleurs, sur le plan subjectif, elle expose que plusieurs</w:t>
      </w:r>
    </w:p>
    <w:p>
      <w:r>
        <w:t>- 8 - procédures sont en cours ; si chacune prise séparément pourrait ne pas atteindre une complexité substantielle, la combinaison de ces différents dossiers ne lui permettrait pas de se défendre seule. En outre, elle n’a aucune formation juridique et se trouve dans un état de santé particulièrement vulnérable ; elle est actuellement suivie au niveau addictologique et est au bénéfice d’une rente d’invalidité ainsi que d’allocations d’impotence. Enfin, elle fait valoir que même si la sanction à laquelle elle s’expose dans la présente affaire n’atteint pas le degré de gravité suffisant à justifier la désignation d’un défenseur d’office selon le procureur, le prononcé de peines qui pourraient être intégralement complémentaires n’est en l’état pas exclu au vu de la procédure pénale ouverte contre elle sous référence PE24.06673-JBC auprès du Ministère public de l’arrondissement de La Côte, qui n’a pour l’heure fait l’objet d’aucune décision.</w:t>
      </w:r>
    </w:p>
    <w:p>
      <w:r>
        <w:rPr>
          <w:b/>
        </w:rPr>
        <w:t>E. 2.2</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w:t>
      </w:r>
    </w:p>
    <w:p>
      <w:r>
        <w:rPr>
          <w:b/>
        </w:rPr>
        <w:t>E. 2.3.1</w:t>
      </w:r>
    </w:p>
    <w:p>
      <w:r>
        <w:t>Dans le cas d’espèce, on peut concéder au Ministère public que, considérée pour elle-même, l’affaire peut paraître banale sinon bénigne. En l’état, la recourante est soupçonnée de voies de fait, certes</w:t>
      </w:r>
    </w:p>
    <w:p>
      <w:r>
        <w:t>- 10 - sous la forme qualifiée de cette infraction, dès lors qu’elle aurait été commise au préjudice de son fils. Il s’agit donc d’une contravention, passible d’une amende (art. 126 al. 1 CP), soit une sanction plus légère que celles mentionnées à l’art. 132 al. 3 CPP. Il n’en demeure pas moins que, comme le plaide à juste titre la recourante, l’issue de la procédure pénale est susceptible de l’impacter sérieusement dans ses prérogatives parentales. Il est d’ailleurs constant que l’intervention de la police du 9 janvier 2025 a non seulement déclenché l’ouverture de la présente procédure, mais a aussi débouché sur le retrait de la garde qu’elle assumait jusqu’alors sur son fils, retrait ordonné d’abord par la DGEJ, validé ensuite par la juge de paix à titre de mesures superprovisionnelles, puis confirmé à titre provisionnel par la juge en charge du divorce. Force est ainsi de reconnaître que, dans ces circonstances particulières, les intérêts de la recourante qui sont susceptibles d’être mis en cause par la procédure pénale justifient l’intervention d’un défenseur. Certes, on ne peut pas dire que les faits dénoncés seraient objectivement complexes, ni que l’application du droit soulèverait des questions épineuses, même s’il s’agira d’apprécier la force probante des déclarations du jeune B.B.________ et de juger de l’éventuelle culpabilité de la recourante dans le contexte des très sérieuses difficultés familiales, sociales et médicales auxquelles celle-ci est confrontée. Mais d’un point de vue subjectif, ce sont précisément les fragilités multiples qu’accuse la recourante qui doivent conduire à retenir qu’elle ne sera pas en capacité de surmonter les difficultés même modestes de la procédure pénale sans l’aide d’un avocat. Tout bien pesé, c’est à tort que le représentant du Ministère public a considéré que l’assistance d’un défenseur d’office n’était pas nécessaire à la défense des intérêts de la recourante. On notera encore – quand même cela importe peu – qu’A.B.________ a été pourvue d’une défense d’office dans les enquêtes ouvertes contre elle par le Ministère public de l’arrondissement de La Côte et que la question d’une jonction pourrait devoir se poser au regard de l’art. 29 al. 1 let. b CPP.</w:t>
      </w:r>
    </w:p>
    <w:p>
      <w:r>
        <w:t>- 11 -</w:t>
      </w:r>
    </w:p>
    <w:p>
      <w:r>
        <w:rPr>
          <w:b/>
        </w:rPr>
        <w:t>E. 2.3.2</w:t>
      </w:r>
    </w:p>
    <w:p>
      <w:r>
        <w:t>Le Ministère public ne s’est pas prononcé sur la question de l’indigence. Force est d’admettre, au regard des conditions économiques qui ressortent de l’ordonnance de mesures protectrices de l’union conjugale du 27 juin 2024, que cette condition est manifestement réalisée dans la personne de la recourante. L’indigence d’A.B.________ a par ailleurs été admise par le Ministère public de l’arrondissement de La Côte dans son ordonnance du 17 mai 2024 par laquelle il a nommé Me Raphaël Tatti en qualité de défenseur d’office de la recourante, prévenue dans le cadre de l’affaire pénale PE24. 006673-JBC (cf. let. Bh supra).</w:t>
      </w:r>
    </w:p>
    <w:p>
      <w:r>
        <w:rPr>
          <w:b/>
        </w:rPr>
        <w:t>E. 3</w:t>
      </w:r>
    </w:p>
    <w:p>
      <w:r>
        <w:t>Il résulte de ce qui précède que le recours doit être admis et l’ordonnance attaquée réformée en ce sens que Me Raphaël Tatti est désigné en qualité de défenseur d’office d’A.B.________. La désignation prendra effet à la veille du dépôt de la demande, l’effet rétroactif de petite ampleur requis par l’avocat apparaissant justifié par les circonstances (CREP 6 octobre 2011 consid. 2c et les réf.). L’ordonnance sera maintenue pour le surplus. Vu l’issue de la cause, les frais de la procédure de recours, constitués de l’émolument d’arrêt (art. 422 al. 1 CPP), par 990 fr. (art. 20 al. 1 TFIP [Tarif des frais de procédure et indemnités en matière pénale du 28 septembre 2010 ; BLV 312.03.1]), et des frais imputables à la défense d’office pour la présente procédure de recours (art. 422 al. 1 et 2 let. a CPP), fixés à 596 fr. en chiffres arrondis, qui comprennent des honoraires par 540 fr., pour trois heures d’activité nécessaire d’avocat à 180 fr. l’heure, des débours forfaitaires par 10 fr. 80 (cf. art. 26b TFIP qui renvoie à l'art. 3bis RAJ [règlement sur l’assistance judiciaire en matière civile du 7 décembre 2010 ; BLV 211.02.3]) et la TVA sur le tout, au taux de 8,1 %, par 44 fr. 60, seront laissés à la charge de l’Etat (art. 423 al. 1 CPP).</w:t>
      </w:r>
    </w:p>
    <w:p>
      <w:r>
        <w:t>- 12 - Par ces motifs, le juge unique prononce : I. Le recours est admis. II. L’ordonnance du 28 mars 2025 est réformée comme il suit au chiffre I de son dispositif : « I. Me Raphaël Tatti est désigné en qualité de défenseur d’office d’A.B.________ avec effet au 10 mars 2025. ». L’ordonnance est maintenue pour le surplus. III. L’indemnité allouée à Me Raphaël Tatti, défenseur d’office de la recourante, pour la procédure de recours, est fixée à 596 fr. (cinq cent nonante-six francs). IV. Les frais de la procédure de recours, par 990 fr. (neuf cent nonante francs), ainsi que l’indemnité due au défenseur d’office de la recourante, par 596 fr. (cinq cent nonante-six francs), sont laissés à la charge de l’Etat. V. L’arrêt est exécutoire. Le juge unique : La greffière : Du Le présent arrêt, dont la rédaction a été approuvée à huis clos, est notifié, par l'envoi d'une copie complète, à : - Me Raphaël Tatti, avocat (pour A.B.________), - Ministère public central, et communiqué à : - M. le Procureur de l’arrondissement de l’Est vaudois,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