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PE25.004261 vom 2. September 2025</w:t>
      </w:r>
    </w:p>
    <w:p>
      <w:r>
        <w:t>VD Tribunal cantonal, 2025-09-02, FR</w:t>
      </w:r>
    </w:p>
    <w:p>
      <w:r>
        <w:rPr>
          <w:b/>
        </w:rPr>
        <w:t xml:space="preserve">Quelle: </w:t>
      </w:r>
      <w:r>
        <w:t>https://mcp.opencaselaw.ch/entscheid/vd_gerichte_PE25.004261</w:t>
      </w:r>
    </w:p>
    <w:p>
      <w:r>
        <w:t>FR: VD_GERICHTE PE25.004261 du 2 septembre 2025</w:t>
      </w:r>
    </w:p>
    <w:p>
      <w:r>
        <w:t>IT: VD_GERICHTE PE25.004261 del 2 settembre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est non signé, pas plus que l’enveloppe d’envoi ne comporte la mention manuscrite de l’identité de l’expéditeur. Il y a lieu d’examiner les conséquences de cette informalité.</w:t>
      </w:r>
    </w:p>
    <w:p>
      <w:r>
        <w:rPr>
          <w:b/>
        </w:rPr>
        <w:t>E. 2.1</w:t>
      </w:r>
    </w:p>
    <w:p>
      <w:r>
        <w:t>La mention manuscrite de l’identité de l’expéditeur sur l’enveloppe d’envoi d’un acte satisfait à l’exigence d’une signature olographe (TF 1C_39/2013 du 11 mars 2013 consid. 2.4 ; ATF 108 Ia 289 consid. 2 p. 291 ; ATF 106 IV 65 consid. 1 p. 67 ; ATF 102 IV 142 consid. 2 p. 143). Comme déjà relevé, l’enveloppe d’envoi ne comporte en l’espèce</w:t>
      </w:r>
    </w:p>
    <w:p>
      <w:r>
        <w:t>- 3 - pas une telle mention, de sorte que ce principe n’est d’aucun secours au recourant. Lorsqu'un mémoire d'une partie n'est pas signé valablement par elle ou par son représentant, le tribunal doit impartir un délai raisonnable pour réparer le vice. Sont toutefois réservés les cas d'abus de droit manifeste (ATF 142 I 10 consid. 2.4 ; ATF 120 V 413 consid. 6). Dans le cas particulier, il n’y a pas lieu d’impartir au recourant un délai raisonnable pour réparer le vice. En effet, comme cela sera exposé ci-après, le recours doit être tenu pour irrecevable pour un autre motif encore, à savoir pour tardiveté, de l’aveu même de son auteur.</w:t>
      </w:r>
    </w:p>
    <w:p>
      <w:r>
        <w:rPr>
          <w:b/>
        </w:rPr>
        <w:t>E. 2.2</w:t>
      </w:r>
    </w:p>
    <w:p>
      <w:r>
        <w:t>Le pli contenant l’ordonnance dont est recours a été retourné par la poste au greffe du Ministère public avec la mention « non réclamé ». Il ressort du suivi des envois postaux (P. 9) que le destinataire du pli a été avisé en vue de son retrait le 14 avril 2025, de sorte que l’envoi est réputé lui avoir été notifié à l’issue du délai de garde postal de sept jours, soit le 21 avril 2025. Le délai de recours a par conséquent commencé à courir le lendemain 22 avril 2025 pour arriver à échéance le jeudi 1er mai 2025 (art. 90 al. 1 CPP). Interjeté par acte mis sous pli le 30 mai 2025 seulement, le recours est ainsi tardif. Le recourant le reconnaît du reste lui-même en relevant, en début de mémoire, qu’il « [tenait] tout d’abord à présenter [s]es excuses pour le dépôt de ce recours hors délai ». Cet aveu commande d’exclure la bonne foi du plaideur, soit de constater un cas d'abus de droit manifeste de sa part, ce qui interdit de lui impartir un délai raisonnable pour réparer le vice entachant son acte. Pour le reste, le recourant ne sollicite pas non plus formellement la restitution du délai de recours (art. 94 CPP), laquelle aurait, en tout état de cause, présupposé un acte valide en la forme pour ce qui est des autres exigences légales.</w:t>
      </w:r>
    </w:p>
    <w:p>
      <w:r>
        <w:rPr>
          <w:b/>
        </w:rPr>
        <w:t>E. 3</w:t>
      </w:r>
    </w:p>
    <w:p>
      <w:r>
        <w:t>En définitive, le recours doit être déclaré irrecevable, sans échange d’écritures (art. 390 al. 2 CPP).</w:t>
      </w:r>
    </w:p>
    <w:p>
      <w:r>
        <w:t>- 4 - Les frais de la présente procédure, constitués du seul émolument d’arrêt, par 440 fr.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440 fr. (quatre cent quarante francs), sont laissés à la charge de l’Etat. III. L’arrêt est exécutoire. Le président : Le greffier : Du Le présent arrêt, dont la rédaction a été approuvée à huis clos, est notifié, par l'envoi d'une copie complète, à : - M. M.________, - Ministère public central, et communiqué à : - M. le Procureur de l’arrondissement de l’Est vaudois.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