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PE25.003674 vom 18. August 2025</w:t>
      </w:r>
    </w:p>
    <w:p>
      <w:r>
        <w:t>VD Tribunal cantonal, 2025-08-18, FR</w:t>
      </w:r>
    </w:p>
    <w:p>
      <w:r>
        <w:rPr>
          <w:b/>
        </w:rPr>
        <w:t xml:space="preserve">Quelle: </w:t>
      </w:r>
      <w:r>
        <w:t>https://mcp.opencaselaw.ch/entscheid/vd_gerichte_PE25.003674</w:t>
      </w:r>
    </w:p>
    <w:p>
      <w:r>
        <w:t>FR: VD_GERICHTE PE25.003674 du 18 août 2025</w:t>
      </w:r>
    </w:p>
    <w:p>
      <w:r>
        <w:t>IT: VD_GERICHTE PE25.003674 del 18 agosto 2025</w:t>
      </w:r>
    </w:p>
    <w:p>
      <w:pPr>
        <w:pStyle w:val="Heading2"/>
      </w:pPr>
      <w:r>
        <w:t>Erwägungen</w:t>
      </w:r>
    </w:p>
    <w:p>
      <w:r>
        <w:rPr>
          <w:b/>
        </w:rPr>
        <w:t>E. 1</w:t>
      </w:r>
    </w:p>
    <w:p>
      <w:r>
        <w:t>CPP), le recours est recevable.</w:t>
      </w:r>
    </w:p>
    <w:p>
      <w:r>
        <w:t>- 13 -</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Aux termes de l’art. 237 al. 4 CPP, les dispositions sur la détention provisoire et la détention pour des motifs de sûreté s’appliquent par analogie au prononcé des mesures de substitution ainsi qu’au recours contre elles.</w:t>
      </w:r>
    </w:p>
    <w:p>
      <w:r>
        <w:rPr>
          <w:b/>
        </w:rPr>
        <w:t>E. 1.2</w:t>
      </w:r>
    </w:p>
    <w:p>
      <w:r>
        <w:t>En l’espèce, interjeté en temps utile par un prévenu au bénéfice de mesures de substitution à la détention provisoire qui a qualité pour recourir (art. 382 al. 1 CPP) et dans les formes prescrites (art. 385 al.</w:t>
      </w:r>
    </w:p>
    <w:p>
      <w:r>
        <w:rPr>
          <w:b/>
        </w:rPr>
        <w:t>E. 2.1</w:t>
      </w:r>
    </w:p>
    <w:p>
      <w:r>
        <w:t>Le recourant ne critique pas le raisonnement du premier juge en tant qu’il a retenu que les conditions de la détention provisoire au sens de l’art. 221 CPP demeuraient réunies. Il conclut uniquement à la suppression de l’interdiction qui lui a été faite d’exercer son activité de [...] par des contacts directs avec des patients à titre de mesure de substitution à la détention provisoire. En premier lieu, il fait valoir que les soupçons dirigés contre lui porteraient désormais uniquement sur les faits dénoncés par Q.________ et qu’aucun indice concret d’abus sur [...] ne serait établi. Il invoque à cet égard qu’aucun élément permettant de douter de son innocence ne serait ressorti de l’analyse de son matériel informatique, qu’aucun [...] qui aurait été victime de ses actes se serait fait connaître, que W.________ aurait reconnu avoir inventé les actes qu’il mentionne dans sa dénonciation pour lui nuire et que les accusations de ce dernier auraient été invraisemblables, puisque [...], qu’il serait accompagné d’autres professionnels lors [...] et qu’il lui serait impossible de droguer quelqu’un [...] sans que personne s’en aperçoive. Le recourant soutient ensuite que la mesure litigieuse ne serait pas de nature à parer au risque de collusion retenu par le Tribunal des mesures de contrainte, puisque les tiers liés à la dénonciation du 6 février 2025 auraient désormais été entendus et que le fait d’autoriser le recourant à entrer en contact direct avec des patients ne serait pas de nature à interférer dans le cadre de l’enquête en lien avec les faits concernant Q.________. En outre, en l’absence d’indice laissant penser qu’il a commis des abus sur [...], il n’existerait aucun risque de récidive [...]. Le recourant aurait par ailleurs débuté un traitement psychothérapeutique à raison de deux fois par mois auprès du Dr [...] le 17 avril 2025, qui viserait à traiter ses problématiques psychiques et à maintenir son abstinence en lien avec la consommation de stupéfiants, ce médecin ayant été informé qu’il était tenu de déclarer tout manquement du recourant dans le cadre du suivi mis en place.</w:t>
      </w:r>
    </w:p>
    <w:p>
      <w:r>
        <w:t>- 14 - Invoquant une violation du principe de la proportionnalité, le recourant soutient que dans la mesure où sa consommation de stupéfiants aurait cessé depuis son incarcération et où son état psychique serait sous contrôle grâce à son suivi thérapeutique, la règle de l’aptitude de la mesure ne serait pas respectée, une mesure de substitution ne pouvant pas être imposée pour éviter des infractions qui n’ont pas été commises. En outre, le but poursuivi par la direction de la procédure, à savoir protéger les patients, pourrait être atteint par des mesures moins sévères. Lui interdire d’exercer son activité en contact direct avec les patients serait une mesure extrême qui l’empêcherait d’exercer toute activité lucrative et de percevoir des revenus. L’infraction en lien avec cette interdiction serait notamment la consommation de produits stupéfiants, laquelle serait intervenue en dehors du cadre professionnel et serait sans lien direct avec les patients. Les infractions à la loi sur les stupéfiants seraient minimes au regard de l’importance des mesures ordonnées contre lui. Le recourant expose également que le Conseil de santé serait désormais informé de l’ouverture de la procédure pénale. Selon lui, il reviendrait à cette autorité de prendre les mesures qu’elle juge utiles pour protéger les intérêts des patients. L’autorité pénale, alors que des indices de commission d’infractions n’existeraient pas, ne pourrait plus se substituer à cette autorité de surveillance. Enfin, le recourant allègue que la mesure serait également disproportionnée s’agissant de sa durée, dès lors qu’il n’y aurait plus aucune investigation à mener dans le cadre de l’instruction.</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w:t>
      </w:r>
    </w:p>
    <w:p>
      <w:r>
        <w:t>- 15 -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w:t>
      </w:r>
    </w:p>
    <w:p>
      <w:r>
        <w:rPr>
          <w:b/>
        </w:rPr>
        <w:t>E. 2.2.2</w:t>
      </w:r>
    </w:p>
    <w:p>
      <w:r>
        <w:t>La mise en détention provisoire et, a fortiori, le maintien en détention,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nn. 4 ss ad art. 221 CPP).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du 9 janvier 2024 consid. 3.2.1 et les arrêts cités).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316 consid. 3.1 et 3.2 ;</w:t>
      </w:r>
    </w:p>
    <w:p>
      <w:r>
        <w:t>- 16 - ATF 143 IV 330 consid. 2.1 ; TF 7B_33/2025 du 28 janvier 2025 consid. 5.2). Il en va de même pour les autorités de recours appelées à se prononcer sur la légalité d'une décision de maintien en détention provisoire ou pour des motifs de sûreté (ATF 137 IV 122 consid. 3.2 ; ATF 124 I 208 consid. 3 ; TF 1B_308/2018 du 17 juillet 2018 consid. 2.1).</w:t>
      </w:r>
    </w:p>
    <w:p>
      <w:r>
        <w:rPr>
          <w:b/>
        </w:rPr>
        <w:t>E. 2.2.3</w:t>
      </w:r>
    </w:p>
    <w:p>
      <w:r>
        <w:t>Conformément au principe de la proportionnalité ancré à l'art. 36 al. 3 Cst. (Constitution fédérale de la Confédération suisse du 18 avril 1999 ; RS 101 ; pour la procédure pénale, cf. art. 197 al. 1 let. c CPP), qui prévoit que toute restriction d'un droit fondamental doit être proportionnée au but visé,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si ces mesures permettent d'atteindre le même but que la détention (règle de l'aptitude). En vertu de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de l'art. 237 al. 2 CPP est exemplative et le juge de la détention peut également, le cas échéant, assortir les mesures de substitution de toute condition propre à en garantir l'efficacité (ATF 145 IV 503 consid. 3.1 ; TF 7B_191/2025 du 28 mars 2025 consid. 4.2.2).</w:t>
      </w:r>
    </w:p>
    <w:p>
      <w:r>
        <w:rPr>
          <w:b/>
        </w:rPr>
        <w:t>E. 2.3</w:t>
      </w:r>
    </w:p>
    <w:p>
      <w:r>
        <w:t>Le Tribunal des mesures de contrainte a considéré que l’interdiction faite à L.________ d’exercer l’activité de [...] par des contacts</w:t>
      </w:r>
    </w:p>
    <w:p>
      <w:r>
        <w:t>- 17 - directs avec les patients faisait toujours sens, à ce stade, en raison de ses consommations de substances et de son état psychique. En l’occurrence, il faut constater que si les soupçons de la commission d’infractions subsistent s’agissant des faits dont se plaint Q.________, on ne peut pas retenir que tel est le cas s’agissant des faits pour lesquels L.________ a été dénoncé dans le cadre de son activité professionnelle par lettre anonyme. Les soupçons initiaux [...] ne se sont pas renforcés en cours d’instruction, bien au contraire puisque l’auteur de la dénonciation anonyme a reconnu avoir inventé ses accusations (« Vous me dites que dans un sens, vous êtes rassuré que M. L.________ n’a pas, à ma connaissance, abusé [...]. Non, en effet. […] On avait tellement raconté d’histoires sur mon dos que j’ai eu besoin d’en raconter sur M. L.________ […] je ne pensais pas cela allait prendre cette ampleur » PV aud. 5, R. 8 et 16). En outre, comme le relève le Ministère public dans sa demande du 7 juillet 2025, les soupçons de commission d’infractions au préjudice de personnes qui auraient été soumises chimiquement en vue de relations sexuelles ne semblent pas être étayés par des éléments de l’enquête. Par ailleurs, les médicaments saisis au domicile du recourant ne provenaient pas du stock du H.________ et rien ne laisse penser dans l’analyse de son téléphone que le prévenu se serait adonné à un trafic de stupéfiants (cf. PV des opérations du 7 juillet 2025). Enfin, le recourant se plie au suivi psychothérapeutique bimensuel qui lui a été imposé pour traiter ses problèmes de santé mentale et maintenir son abstinence aux produits stupéfiants. Au vu de l’ensemble de ces éléments, interdire au recourant d’exercer son activité par des contacts directs avec les patients apparaît être une mesure de substitution à la détention provisoire disproportionnée. L’obligation de se soumettre à un suivi psychothérapeutique est une mesure de substitution qui permet de répondre à la problématique de son état psychique et de sa consommation de produits stupéfiants au regard des soupçons de commission d’infractions qui demeurent à son encontre et des risques retenus. La question de son aptitude à pratiquer au contact direct de</w:t>
      </w:r>
    </w:p>
    <w:p>
      <w:r>
        <w:t>- 18 - patients ne relève pour le surplus pas de l’autorité pénale. La mesure litigieuse doit par conséquent être levée. Toutefois, il y a lieu de préciser que cela ne signifie pas encore que le recourant pourra pratiquer à nouveau. En effet, il appartient au Conseil de santé saisi d’examiner s’il en remplit les conditions et de prendre, le cas échéant, les mesures qui relèvent de sa compétence exclusive. La direction de la procédure devra ainsi informer sans délai cette autorité de la levée de la mesure.</w:t>
      </w:r>
    </w:p>
    <w:p>
      <w:r>
        <w:rPr>
          <w:b/>
        </w:rPr>
        <w:t>E. 3.1</w:t>
      </w:r>
    </w:p>
    <w:p>
      <w:r>
        <w:t>Invoquant les principes de la présomption d’innocence et de la protection de la personnalité, le recourant requiert enfin qu’il soit renoncé à la publication de l’arrêt à intervenir. Il soutient qu’une anonymisation ne serait pas suffisante pour empêcher que des tiers le reconnaissent, vu sa fonction et les circonstances de cette affaire. Subsidiairement, il requiert que les postes qu’il occupe, sa profession, le nom de son employeur et tout autre élément qui pourrait le rendre reconnaissable soient également anonymisés.</w:t>
      </w:r>
    </w:p>
    <w:p>
      <w:r>
        <w:rPr>
          <w:b/>
        </w:rPr>
        <w:t>E. 3.2</w:t>
      </w:r>
    </w:p>
    <w:p>
      <w:r>
        <w:t>Conformément aux art. 8 LInfo (Loi vaudoise sur l’information du 24 septembre 2002 ; BLV 170.21), qui érige en principe l’accessibilité au public des renseignements, informations et documents officiels détenus par les organismes soumis à ladite loi, et 16 al. 1 ROJI (Règlement de l'ordre judiciaire sur l'information du 13 juin 2006 ; BLV 170.21.2), qui prévoit que le Tribunal cantonal décide de la jurisprudence mise à disposition du public, sur son site Internet, et de celle proposée à la publication dans des revues juridiques, toutes les décisions du Tribunal cantonal sont en principe publiées sur Internet. Les décisions sont toutefois caviardées pour empêcher que l’on puisse reconnaître les parties privées (cf. Directive de la CA n° 15 du 13 novembre 2008). Aux termes de l’art. 16 al. 1 LInfo, les autorités peuvent à titre exceptionnel décider de ne pas publier ou transmettre des informations, de le faire partiellement ou de différer cette publication ou transmission si des intérêts publics ou privés prépondérants s'y opposent. Selon l’al. 3, sont notamment réputés intérêts privés prépondérants la protection</w:t>
      </w:r>
    </w:p>
    <w:p>
      <w:r>
        <w:t>- 19 - contre une atteinte notable à la sphère privée, sous réserve du consentement de la personne concernée (let. a). L’art. 16 al. 2 ROJI prévoit que le Tribunal cantonal veille au respect des droits des parties et des tiers.</w:t>
      </w:r>
    </w:p>
    <w:p>
      <w:r>
        <w:rPr>
          <w:b/>
        </w:rPr>
        <w:t>E. 3.3</w:t>
      </w:r>
    </w:p>
    <w:p>
      <w:r>
        <w:t>En l’espèce, l’anonymisation des éléments qui ont trait à la profession du recourant, aux postes qu’il occupe et aux lieux où il exerce suffisent à sauvegarder ses droits.</w:t>
      </w:r>
    </w:p>
    <w:p>
      <w:r>
        <w:rPr>
          <w:b/>
        </w:rPr>
        <w:t>E. 4</w:t>
      </w:r>
    </w:p>
    <w:p>
      <w:r>
        <w:t>En définitive, le recours doit être admis et l'ordonnance querellée réformée au chiffre II let. b de son dispositif, l’interdiction d’exercer l’activité de [...] par des contacts directs avec les patients étant supprimée. L’ordonnance sera maintenue pour le surplus. Les frais de la procédure de recours, constitués en l’espèce du seul émolument d'arrêt, par 1’980 fr. (art. 20 al. 1 TFIP [tarif des frais judiciaires et indemnités en matière pénale du 28 septembre 2010 ; BLV 312.03.1]), seront laissés à la charge de l’Etat. Le recourant, qui a procédé avec l’assistance d’un conseil de choix et qui a obtenu gain de cause, a droit, à la charge de l’Etat, à une juste indemnité pour les dépenses occasionnées par l’exercice raisonnable de ses droits pour la procédure de recours (art. 436 al. 3 CPP, TF 6B_1004/2015 du 5 mai 2016 consid. 1.3). Le tarif horaire sera fixé à 300 fr. (art. 26a al. 4 TFIP). Au vu du mémoire de recours, les honoraires doivent être fixés à 1'200 fr., correspondant à quatre heures d’activité nécessaire d’avocat (cf. art. 26a al. 3 TFIP), auxquels s’ajoutent les débours forfaitaires de 2 %, par 24 fr. (cf. art. 26a TFIP qui renvoie à l'art. 19 al. 2 TDC [tarif des dépens en matière civile du 23 novembre 2010 ; BLV 270.11.6]), ainsi qu’un montant correspondant à la TVA, par 99 fr. 15. L’indemnité s’élève donc à 1’324 fr. au total en chiffres arrondis.</w:t>
      </w:r>
    </w:p>
    <w:p>
      <w:r>
        <w:t>- 20 - Par ces motifs, la Chambre des recours pénale prononce : I. Le recours est admis. II. L’ordonnance du 15 juillet 2025 est réformée, le chiffre II let. b de son dispositif étant supprimé. L’ordonnance est maintenue pour le surplus. III. Les frais d’arrêt, par 1’980 fr. (mille neuf cent huitante francs), sont laissés à la charge de l’Etat. IV. Une indemnité de 1’324 fr. (mille trois cent vingt-quatre francs) est allouée à L.________ pour la procédure de recours, à la charge de l’Etat. V. L’arrêt est exécutoire. Le président : La greffière : Du Le présent arrêt, dont la rédaction a été approuvée à huis clos, est notifié, par l'envoi d'une copie complète, à : - Me Silvia Gutierrez, avocate (pour L.________), - Ministère public central, et communiqué à : - Mme la Présidente du Tribunal des mesures de contrainte, - Mme la Procureure du Ministère public central, division affaires spéciales, par l’envoi de photocopies.</w:t>
      </w:r>
    </w:p>
    <w:p>
      <w:r>
        <w:t>- 21 - En application de l’art. 214 al. 4 CPP, le dispositif du présent arrêt est communiqué par courrier séparé à la victime suivante : - Me Alix Job, avocate (pour Q.________),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