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PE25.003539 vom 14. November 2025</w:t>
      </w:r>
    </w:p>
    <w:p>
      <w:r>
        <w:t>VD Tribunal cantonal, 2025-11-14, FR</w:t>
      </w:r>
    </w:p>
    <w:p>
      <w:r>
        <w:rPr>
          <w:b/>
        </w:rPr>
        <w:t xml:space="preserve">Quelle: </w:t>
      </w:r>
      <w:r>
        <w:t>https://mcp.opencaselaw.ch/entscheid/vd_gerichte_PE25.003539</w:t>
      </w:r>
    </w:p>
    <w:p>
      <w:r>
        <w:t>FR: VD_GERICHTE PE25.003539 du 14 novembre 2025</w:t>
      </w:r>
    </w:p>
    <w:p>
      <w:r>
        <w:t>IT: VD_GERICHTE PE25.003539 del 14 novembre 2025</w:t>
      </w:r>
    </w:p>
    <w:p>
      <w:pPr>
        <w:pStyle w:val="Heading2"/>
      </w:pPr>
      <w:r>
        <w:t>Erwägungen</w:t>
      </w:r>
    </w:p>
    <w:p>
      <w:r>
        <w:rPr>
          <w:b/>
        </w:rPr>
        <w:t>E. 1.1</w:t>
      </w:r>
    </w:p>
    <w:p>
      <w:r>
        <w:t>Les décisions de la direction de la procédure, dans le cas d’espèce le Ministère public, en matière de désignation, de révocation et de remplacement du défenseur d'office sont susceptibles de recours selon les art. 393 ss CPP (ATF 140 IV 202 consid. 2.1 ; TF 1B_388/2020 du 2 septembre 2020 consid. 1 ; CREP 31 juillet 2023/586 consid. 1.1 ; CREP 23 février 2023/133 consid. 1 ; Harari/Jakob/ Santamaria, in : Jeanneret et al. [éd.], Commentaire romand, Code de procédure pénale suisse, 2e éd., Bâle, 2019, n. 33 ad art. 133 CPP et 25 ad art. 134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w:t>
      </w:r>
    </w:p>
    <w:p>
      <w:r>
        <w:rPr>
          <w:b/>
        </w:rPr>
        <w:t>E. 1.2</w:t>
      </w:r>
    </w:p>
    <w:p>
      <w:r>
        <w:t>En l’espèce, interjeté en temps utile contre une décision susceptible de recours par le prévenu qui a qualité pour recourir (art. 382 al. 1 CPP), devant l’autorité compétente, et dans les formes prescrites (art. 385 al. 1 CPP), le recours est recevable.</w:t>
      </w:r>
    </w:p>
    <w:p>
      <w:r>
        <w:rPr>
          <w:b/>
        </w:rPr>
        <w:t>E. 2</w:t>
      </w:r>
    </w:p>
    <w:p>
      <w:r>
        <w:t>- 5 -</w:t>
      </w:r>
    </w:p>
    <w:p>
      <w:r>
        <w:rPr>
          <w:b/>
        </w:rPr>
        <w:t>E. 2.1</w:t>
      </w:r>
    </w:p>
    <w:p>
      <w:r>
        <w:t>Dans un premier moyen, le recourant invoque la violation de son droit d’être entendu, sous l’angle de son droit d’obtenir une décision motivée quant à son absence d’indigence.</w:t>
      </w:r>
    </w:p>
    <w:p>
      <w:r>
        <w:rPr>
          <w:b/>
        </w:rPr>
        <w:t>E. 2.2</w:t>
      </w:r>
    </w:p>
    <w:p>
      <w:r>
        <w:t>; CREP 2 décembre 2024/877 consid. 2.2). La motivation peut toutefois être implicite et résulter des différents considérants de la décision (ATF 141 IV 557 précité ; TF 6B_5/2022 précité ; TF 6B_179/2020 du 18 mai 2020 consid. 1.2).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TF 6B_182/2022 du 25 janvier 2023 consid. 1.2).</w:t>
      </w:r>
    </w:p>
    <w:p>
      <w:r>
        <w:t>- 6 -</w:t>
      </w:r>
    </w:p>
    <w:p>
      <w:r>
        <w:rPr>
          <w:b/>
        </w:rPr>
        <w:t>E. 2.3</w:t>
      </w:r>
    </w:p>
    <w:p>
      <w:r>
        <w:t>En l’espèce, les reproches formulés par le recourant au sujet de la motivation de l’ordonnance sont fondés. En effet, la procureure s’est limitée à affirmer que sa situation financière n’était toujours pas établie de manière claire, sans pour autant indiquer, même sommairement, les éléments de fait qui demeuraient obscurs. Elle a toutefois complété sa motivation dans ses déterminations du 24 octobre 2025, en indiquant en substance que des factures d’ordre privé semblaient être prises en charge par T.________ Sàrl, telles que des amendes, des factures SERAFE ou des dépenses à la Migros et que les relevés bancaires de la société laissaient apparaître que divers montants avaient été versés au recourant en 2025 (soit 4'300 fr. le 14 août 2025, 3'000 fr. le 23 juillet 2025, 8'696 fr. 38 le 26 mai 2025, 6'000 fr. le 18 mars 2025), montants qui n’apparaissaient toutefois par sur les relevés de compte personnels [...] produits par le recourant, à l’exception des deux derniers versements cités. A l’inverse, le montant de 5'294.24 euros encaissé par le recourant le 9 avril 2025 de la part de T.________ Sàrl n’apparaissait pas sur le relevé bancaire de cette dernière, produit par le recourant. A cela s’ajoutait encore que les comptes privés du recourant ne présentaient aucune dépense privée telle que son loyer, ni des retraits en cash et que l’intéressé n’avait pas produit le détail des écritures de son compte ouvert à la BCV, mais seulement le solde de celui-ci. Il faut donc constater que la procureure a saisi l’opportunité de combler les lacunes affectant la motivation de sa décision et que le recourant a pu se déterminer sur les précisions apportées ultérieurement à la décision. Dans ces circonstances, il y a lieu de considérer que le vice résultant de la violation du droit d’être entendu a été guéri par l’auteur même de la décision attaquée.</w:t>
      </w:r>
    </w:p>
    <w:p>
      <w:r>
        <w:rPr>
          <w:b/>
        </w:rPr>
        <w:t>E. 3.1</w:t>
      </w:r>
    </w:p>
    <w:p>
      <w:r>
        <w:t>Sur le fond, le recourant soutient qu’il ne disposerait pas des moyens suffisants pour assurer sa défense et que l’assistance d’un défenseur se justifierait pour sauvegarder ses intérêts.</w:t>
      </w:r>
    </w:p>
    <w:p>
      <w:r>
        <w:t>- 7 - 3.2.1 Aux termes de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TF 1B_510/2022 du 16 décembre 2022 consid. 3.1). 3.2.2 Selon la jurisprudence, une personne est indigente lorsqu'elle n'est pas en mesure d'assumer les frais de la procédure sans porter atteinte au minimum nécessaire à son entretien et à celui de sa famille (ATF 144 III 531 consid. 4.1 ; ATF 141 III 369 consid. 4.1 ; TF 7B_356/2024 du 8 mai 2024 consid. 2.2.3). Pour déterminer l'indigence, il convient de</w:t>
      </w:r>
    </w:p>
    <w:p>
      <w:r>
        <w:t>- 8 -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7B_356/2024 précité).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 Il incombe au requérant de prouver les faits qui permettent de constater qu'il remplit les conditions de la mesure qu'il sollicite (ATF 135 I 221 consid. 5.1 ; TF 7B_846/2023 du 9 janvier 2024 consid. 2.2 et les références citées). S'il ne fournit pas des renseignements suffisants (avec pièces à l'appui) pour permettre d'avoir une vision complète de sa situation financière, l'autorité peut nier l'indigence sans violer le droit constitutionnel à l'assistance judiciaire et, partant, rejeter la demande (ATF 125 IV 161 consid. 4a ; TF 7B_846/2023 précité). 3.2.3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w:t>
      </w:r>
    </w:p>
    <w:p>
      <w:r>
        <w:t>- 9 - constitutionnel à l’assistance judiciaire (ATF 143 I 164 précité ; TF 6B_593/2023 précité).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TF 7B_611/2023 du 20 décembre 2023 consid. 3.2.1). La difficulté objective d’une cause est admise sur le plan juridique lorsque la subsomption des faits donne lieu à des doutes, que ce soit de manière générale ou dans le cas particulier (TF 7B_839/2023 précité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 TF 7B_611/2023 du 20 décembre 2023 consid. 3.2.1).</w:t>
      </w:r>
    </w:p>
    <w:p>
      <w:r>
        <w:rPr>
          <w:b/>
        </w:rPr>
        <w:t>E. 3.3.1</w:t>
      </w:r>
    </w:p>
    <w:p>
      <w:r>
        <w:t>En ce qui concerne son indigence, le recourant reconnaît avoir continué à recevoir certains montants de T.________ Sàrl malgré son « auto-licenciement », ce pour assurer sa propre subsistance, tout en affirmant que la société se retrouvait sans plus aucune ressource financière et à l’arrêt. Au surplus, il avait eu recours au soutien de sa famille pour assurer sa subsistance ; sa sœur lui avait ainsi octroyé un prêt temporaire de 20'000 euros le 8 octobre 2025 afin qu’il puisse s’acquitter</w:t>
      </w:r>
    </w:p>
    <w:p>
      <w:r>
        <w:t>- 10 - de son loyer, produisant le contrat de prêt en question et des relevés bancaires sur lesquels apparaissent les montants versés par sa sœur et les paiements du loyer en retard. Il a toutefois précisé que cette aide d’urgence ne pouvait pas perdurer. S’il faut admettre que les extraits de comptes produits ne laissent pas apparaître que le recourant dispose des moyens suffisants qui lui permettraient d’assumer les frais de procédure, cela ne suffit pas encore à retenir son indigence. En effet, l’intéressé ne fournit pas le moindre élément qui permettrait d’expliquer les motifs qui auraient soudainement conduit sa société T.________ Sàrl à péricliter, alors que ses activités étaient, en 2024, suffisamment florissantes pour permettre au recourant de retirer un revenu mensuel que la présidente du tribunal civil a estimé à plus de 28'000 francs. Les bilan et compte de résultat produits par le recourant ne fournissent en effet aucun renseignement quant aux causes qui auraient permis de rendre crédible une telle évolution, d’autant moins qu’on ignore qui les a établis – sans doute le recourant lui-même – et que ces pièces de comptabilité n’ont pas fait l’objet d’une quelconque révision par une tierce personne. Il est par ailleurs peu crédible que la société puisse continuer son activité sans le recourant, qui en est le seul associé gérant et l’unique personne à disposer de la signature individuelle, comme cela ressort du registre du commerce. A cela s’ajoute encore que cette « chute » soudaine de la société et l’« auto-licenciement » du recourant qui s’en est suivi sont intervenus au moment même où le recourant faisait l’objet d’une procédure d’avis aux débiteurs. Dans ces circonstances, on peut très sérieusement douter de la véracité des allégations du recourant, selon lesquelles l’activité de sa société était devenue à ce point déficitaire qu’il avait été contraint de se licencier lui-même. Face à cette conjonction d’événements extraordinaires et donc si peu vraisemblables, le recourant aurait dû fournir des éléments particulièrement convaincants pour justifier la situation financière catastrophique dont il se prévaut, ce qu’il n’a pas fait.</w:t>
      </w:r>
    </w:p>
    <w:p>
      <w:r>
        <w:t>- 11 - En définitive, le recourant n’a pas rendu vraisemblable son indigence, les éléments du dossier laissant plutôt apparaître qu’il a élaboré un stratagème visant à faire croire que sa société n’a plus les moyens de lui verser un salaire ou qu’il s’est volontairement mis dans cette situation pour ne pas verser les contributions d’entretien dues. Cela suffit à rejeter le recours, sans qu’une instruction complémentaire ne se justifie sur ce point. La condition cumulative, selon laquelle l’assistance d’un défenseur doit être justifiée pour sauvegarder ses intérêts sera toutefois examinée ci-après, par surabondance.</w:t>
      </w:r>
    </w:p>
    <w:p>
      <w:r>
        <w:rPr>
          <w:b/>
        </w:rPr>
        <w:t>E. 3.3.2</w:t>
      </w:r>
    </w:p>
    <w:p>
      <w:r>
        <w:t>Le recourant soutient que la violation de l’obligation d’entretien qu’on lui reproche serait passible d’une peine privative de liberté, que la cause serait compliquée en fait et en droit et qu’il ne disposerait d’aucune connaissance juridique, de sorte qu’il se justifie, selon lui, de lui désigner un défenseur d’office. En l’occurrence, le premier critère de la seconde condition de l’art. 132 al. 1 let. b CPP n’est pas réalisé, puisqu’il est peu probable que le recourant, s’il était déclaré coupable de violation d’une obligation d’entretien et au vu de son casier judiciaire, soit passible d’une peine pécuniaire de plus de 120 jours-amende, quotité au-delà de laquelle la cause ne peut plus être considérée comme de peu de gravité. Le constat ne serait pas différent même s’il fallait tenir compte de la jonction intervenue avec la procédure ouverte contre le recourant pour diffamation, étant précisé que, dans cette dernière procédure, le recourant n’avait pas sollicité la désignation d’un défenseur d’office. Le second critère – cumulatif – de la seconde condition de l’art. 132 al. 1 let. b CPP n’est pas non plus rempli. En effet, objectivement, les seuls faits à élucider sont ceux de connaître les charges et revenus du recourant pour la période considérée en corrélation avec les contributions d’entretien fixées par le juge civil. L’intéressé n’a pas besoin d’un avocat pour fournir les explications utiles permettant d’expliquer l’évolution de sa situation financière. Subjectivement, la cause ne présente aucune</w:t>
      </w:r>
    </w:p>
    <w:p>
      <w:r>
        <w:t>- 12 - difficulté particulière tant du point de vue de l'établissement des faits que des questions juridiques à résoudre. Par ailleurs, l’intéressé, qui peut se prévaloir d’une certaine forme d’expertise dans les questions financières, vu sa profession, a rédigé lui-même son recours dans lequel il a exposé de manière claire, références légales à l’appui, les raisons pour lesquelles il estimait avoir droit à un défenseur d’office, démontrant ainsi qu’il avait concrètement l’aptitude à mener seul la procédure. A cela s’ajoute que la plaignante n’est plus assistée d’un mandataire professionnel depuis le 24 juillet 2025 (P. 12), de sorte que la désignation d’un défenseur d’office au recourant ne se justifie pas non plus du point de vue de l’égalité des armes. C’est ainsi à bon droit que la procureure a considéré que l’assistance d’un défenseur n’était pas justifiée pour sauvegarder les intérêts du recourant. Ce moyen doit ainsi également être rejeté.</w:t>
      </w:r>
    </w:p>
    <w:p>
      <w:r>
        <w:rPr>
          <w:b/>
        </w:rPr>
        <w:t>E. 4</w:t>
      </w:r>
    </w:p>
    <w:p>
      <w:r>
        <w:t>En définitive, le recours doit être rejeté et l’ordonnance du 16 septembre 2025 confirmée. Les frais de la procédure de recours, constitués en l'espèce du seul émolument d’arrêt, par 1’210 fr. (art. 20 al. 1 TFIP [Tarif des frais de procédure et indemnités en matière pénale du 28 septembre 2010 ; RSV 312.03.1]), seront mis à la charge du recourant, qui succombe (art. 428 al. 1 CPP). On relèvera encore que pour les motifs exposés plus haut (consid. 3.3.1), il n’y a pas lieu d’exonérer le recourant du paiement de l’émolument d’arrêt, comme il le requiert, les conditions posées par l’art. 425 CPP n’étant pas réunies. Par ces motifs, la Chambre des recours pénale prononce : I. Le recours est rejeté. II. L’ordonnance du 16 septembre 2025 est confirmée.</w:t>
      </w:r>
    </w:p>
    <w:p>
      <w:r>
        <w:t>- 13 - III. Les frais de la procédure de recours, par 1’210 fr. (mille deux cent dix francs), sont mis à la charge d’H.________. IV. L’arrêt est exécutoire. Le président : La greffière : Du Le présent arrêt, dont la rédaction a été approuvée à huis clos, est notifié, par l'envoi d'une copie complète, à : - 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