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PE25.003451 vom 14. Mai 2025</w:t>
      </w:r>
    </w:p>
    <w:p>
      <w:r>
        <w:t>VD Tribunal cantonal, 2025-05-14, FR</w:t>
      </w:r>
    </w:p>
    <w:p>
      <w:r>
        <w:rPr>
          <w:b/>
        </w:rPr>
        <w:t xml:space="preserve">Quelle: </w:t>
      </w:r>
      <w:r>
        <w:t>https://mcp.opencaselaw.ch/entscheid/vd_gerichte_PE25.003451</w:t>
      </w:r>
    </w:p>
    <w:p>
      <w:r>
        <w:t>FR: VD_GERICHTE PE25.003451 du 14 mai 2025</w:t>
      </w:r>
    </w:p>
    <w:p>
      <w:r>
        <w:t>IT: VD_GERICHTE PE25.003451 del 14 maggio 2025</w:t>
      </w:r>
    </w:p>
    <w:p>
      <w:pPr>
        <w:pStyle w:val="Heading2"/>
      </w:pPr>
      <w:r>
        <w:t>Erwägungen</w:t>
      </w:r>
    </w:p>
    <w:p>
      <w:r>
        <w:rPr>
          <w:b/>
        </w:rPr>
        <w:t>E. 1.1</w:t>
      </w:r>
    </w:p>
    <w:p>
      <w:r>
        <w:t>Aux termes de l’art. 393 al. 1 let. a CPP,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- 4 -</w:t>
      </w:r>
    </w:p>
    <w:p>
      <w:r>
        <w:rPr>
          <w:b/>
        </w:rPr>
        <w:t>E. 1.2</w:t>
      </w:r>
    </w:p>
    <w:p>
      <w:r>
        <w:t>Interjeté en temps utile devant l’autorité compétente par le prévenu, qui a qualité pour recourir (art. 382 al. 1 CPP) et dans les formes prescrites (art. 385 al. 1 CPP), le recours est recevable. Les pièces nouvelles produites à l’appui du recours (P. 12) sont également recevables (art. 389 al. 3 et 390 al. 4 in fine CPP ; TF 1B_550/2022 du 17 novembre 2022 consid. 2.1).</w:t>
      </w:r>
    </w:p>
    <w:p>
      <w:r>
        <w:rPr>
          <w:b/>
        </w:rPr>
        <w:t>E. 2.1</w:t>
      </w:r>
    </w:p>
    <w:p>
      <w:r>
        <w:t>Le recourant fait valoir qu’il aurait été empêché de former opposition à l’ordonnance pénale du 20 mars 2025, car il se trouvait en incapacité « grave » depuis le 19 mars 2025. En outre, il soutient que sa mère, qui bénéficiait d’une procuration générale de sa part à la Poste, aurait retiré le pli alors même qu’il ne l’avait pas expressément mandatée pour ce faire.</w:t>
      </w:r>
    </w:p>
    <w:p>
      <w:r>
        <w:rPr>
          <w:b/>
        </w:rPr>
        <w:t>E. 2.2.1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A teneur de l'art. 85 al. 2 CPP, les autorités pénales notifient leurs prononcés – dont les ordonnances (cf. art. 80 al. 2e phr. CPP) –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 fasse suivre son courrier, désigne un représentant ou indique une adresse</w:t>
      </w:r>
    </w:p>
    <w:p>
      <w:r>
        <w:t>- 5 - de notification (ATF 146 IV 30 consid. 1.1.2 ; ATF 141 II 429 consid. 3.1). Le prononcé est réputé notifié lorsqu’il a été remis au destinataire, à l’un de ses employés ou à toute personne de plus de seize ans vivant dans le même ménage (art. 85 al. 3 CPP).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Il n'est donc pas nécessaire que le destinataire ait personnellement en main la décision en cause, encore moins qu'il en prenne effectivement connaissance (TF 6B_192/2021 du 27 septembre 2021 ; TF 8C_754/2018 du 7 mars 2019 consid. 7.2.1 et références citées).</w:t>
      </w:r>
    </w:p>
    <w:p>
      <w:r>
        <w:rPr>
          <w:b/>
        </w:rPr>
        <w:t>E. 2.2.2</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et les références citées). Selon la jurisprudence constante, une restitution de délai n'entre pas en ligne de compte lorsque la partie ou son mandataire a tardé à agir en raison d'un choix délibéré ou d'une erreur, même légère (ATF 143 I 284 consid. 1.3). Par empêchement non fautif d'accomplir un acte de procédure, il faut comprendre non seulement l'impossibilité objective ou la force majeure, mais également l'impossibilité subjective due à des circonstances personnelles ou à une erreur excusable. La maladie ou</w:t>
      </w:r>
    </w:p>
    <w:p>
      <w:r>
        <w:t>- 6 -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consid. 1.1 et les références citées).</w:t>
      </w:r>
    </w:p>
    <w:p>
      <w:r>
        <w:rPr>
          <w:b/>
        </w:rPr>
        <w:t>E. 2.3</w:t>
      </w:r>
    </w:p>
    <w:p>
      <w:r>
        <w:t>En l’espèce, le pli recommandé contenant l’ordonnance pénale du 20 mars 2025 a été valablement notifié le 21 mars 2025 et le délai de recours arrivait donc à échéance le 31 mars 2025. A l’appui de son recours, V.________ produit un certificat médical détaillé et un arrêt de travail à 100% du 19 avril au 18 mai 2025, démontrant ainsi que son incapacité a perduré. Le certificat médical circonstancié fait état de dépression et de capacités cognitives altérées. Telle n’est toutefois pas la question. En effet, il ressort du courrier de Me Nathalie Fluri du 4 avril 2025 (P. 8) que le recourant n’a eu connaissance de l’ordonnance pénale que le 3 avril 2025, alors même que sa mère avait retiré le pli le 21 mars 2025. Il était alors déjà hors délai pour agir. S’il avait eu connaissance de l’ordonnance pénale le 21 mars 2025 et n’avait pu agir en raison de son état de santé, la question de la restitution de délai aurait dû être examinée, mais en l’espèce, conformément à l’art. 85 al. 3 CPP, le pli a été valablement notifiée à sa mère le 21 mars 2025 et ce n’est dès lors pas en raison de sa maladie que l’opposition n’a pas été formée dans le délai, mais bien parce qu’il a tardé à procéder, preuve en est que, dès qu’il a eu connaissance de l’ordonnance pénale, le recourant a immédiatement mandaté Me Nathalie Fluri pour agir. Mal fondés, les arguments du recourant doivent ainsi être rejetés. C’est donc à bon droit que le Ministère public a rejeté la demande de restitution de délai de V.________.</w:t>
      </w:r>
    </w:p>
    <w:p>
      <w:r>
        <w:rPr>
          <w:b/>
        </w:rPr>
        <w:t>E. 3</w:t>
      </w:r>
    </w:p>
    <w:p>
      <w:r>
        <w:t>Il résulte de ce qui précède que le recours, manifestement mal fondé, doit être rejeté sans échange d’écritures (art. 390 al. 2 CPP) et l’ordonnance entreprise confirmée.</w:t>
      </w:r>
    </w:p>
    <w:p>
      <w:r>
        <w:t>- 7 - Les frais de la procédure de recours, constitués en l’espèce du seul émolument d’arrêt, par 660 fr. (art. 20 al. 1 TFIP [tarif des frais de procédure et indemnités en matière pénale du 28 septembre 2010 ; BLV 312.03.1]), seront mis à la charge de V.________, qui succombe (art. 428 al. 1 CPP). Par ces motifs, la Chambre des recours pénale prononce : I. Le recours est rejeté. II. L’ordonnance du 14 avril 2025 est confirmée. III. Les frais d’arrêt, par 660 fr. (six cent soixante francs), sont mis à la charge de V.________. IV. L’arrêt est exécutoire. Le président : La greffière : Du Le présent arrêt, dont la rédaction a été approuvée à huis clos, est notifié, par l'envoi d'une copie complète, à : - Me Nathalie Fluri, avocat (pour V.________), - Ministère public central, et communiqué à : - Mme la Procureure de l’arrondissement du Nord vaudois,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