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PE25.003049 vom 31. Dezember 2025</w:t>
      </w:r>
    </w:p>
    <w:p>
      <w:r>
        <w:t>VD Tribunal cantonal, 2025-12-31, FR</w:t>
      </w:r>
    </w:p>
    <w:p>
      <w:r>
        <w:rPr>
          <w:b/>
        </w:rPr>
        <w:t xml:space="preserve">Quelle: </w:t>
      </w:r>
      <w:r>
        <w:t>https://mcp.opencaselaw.ch/entscheid/vd_gerichte_PE25.003049</w:t>
      </w:r>
    </w:p>
    <w:p>
      <w:r>
        <w:t>FR: VD_GERICHTE PE25.003049 du 31 décembre 2025</w:t>
      </w:r>
    </w:p>
    <w:p>
      <w:r>
        <w:t>IT: VD_GERICHTE PE25.003049 del 31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 1 CPP), par la partie plaignante qui a la qualité pour agir (art. 382 al. 1 CPP). Il est ainsi recevable.</w:t>
      </w:r>
    </w:p>
    <w:p>
      <w:r>
        <w:rPr>
          <w:b/>
        </w:rPr>
        <w:t>E. 2</w:t>
      </w:r>
    </w:p>
    <w:p>
      <w:r>
        <w:t>Le recourant reproche au Ministère public une violation de l’art. 310 CPP, dès lors que les forts doutes quant à l’identité de l’auteur de la signature apposée sur le contrat de crédit-bail justifiaient des investigations complémentaires. Il fait en particulier grief à la Procureure de n’avoir pas instruit sous l’angle de l’infraction de faux dans les titres. Il expose ne jamais avoir signé les documents relatifs au contrat et argue que le paraphe figurant sur cet accord ne ressemble pas au sien. Il soutient au surplus que, dès lors qu’il a été procédé à des mesures d’instruction, le Ministère public aurait dû statuer en rendant une ordonnance de classement et non une ordonnance de non-entrée en matière.</w:t>
      </w:r>
    </w:p>
    <w:p>
      <w:r>
        <w:rPr>
          <w:b/>
        </w:rPr>
        <w:t>E. 2.1</w:t>
      </w:r>
    </w:p>
    <w:p>
      <w:r>
        <w:t>;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12J010</w:t>
      </w:r>
    </w:p>
    <w:p>
      <w:r>
        <w:t>- 5 - procéder (let. b) ou que les conditions mentionnées à l’art. 8 CPP imposent de renoncer à l’ouverture d’une poursuite pénale (let. c).</w:t>
      </w:r>
    </w:p>
    <w:p>
      <w:r>
        <w:rPr>
          <w:b/>
        </w:rPr>
        <w:t>E. 3.2</w:t>
      </w:r>
    </w:p>
    <w:p>
      <w:r>
        <w:t>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w:t>
      </w:r>
    </w:p>
    <w:p>
      <w:r>
        <w:rPr>
          <w:b/>
        </w:rPr>
        <w:t>E. 3.3</w:t>
      </w:r>
    </w:p>
    <w:p>
      <w:r>
        <w:t>Le terme « immédiatement » indique que l'ordonnance de non- entrée en matière doit être rendue à réception de la dénonciation, de la plainte ou du rapport de police, avant qu'il soit procédé à de plus amples actes d'enquête et qu'une instruction soit ouverte selon l'art. 309 CPP (TF 7B_712/2024 du 5 novembre 2025 consid. 2.2 et les réf. citées). Selon la jurisprudence, le ministère public peut néanmoins procéder à certaines vérifications. Il peut aussi donner des directives et confier des mandats à la police dans le cadre des investigations policières (art. 307 al. 2 CPP ; TF 12J010</w:t>
      </w:r>
    </w:p>
    <w:p>
      <w:r>
        <w:t>- 6 - 7B_712/2024 précité, ibid., et les réf. citées). Il peut demander des compléments d'enquête à la police, non seulement lorsqu'il s'agit de compléter un précédent rapport au sens de l'art. 307 CPP, mais aussi lorsque la dénonciation elle-même apparaît insuffisante (art. 309 al. 2 CPP ; TF 7B_712/2024 précité, ibid., et les réf. citées). Il peut aussi procéder à ses propres constatations (cf. art. 309 al. 1 let. a CPP), ce qui comprend le droit de consulter les fichiers, dossiers et renseignements disponibles. Il peut demander à la personne mise en cause une simple prise de position (TF 7B_712/2024 précité, ibid., et les réf. citées). L'audition du prévenu et de la partie plaignante par la police ne dépasse pas le cadre des investigations policières qui peuvent être effectuées avant que le ministère public ouvre une instruction (art. 306 al. 1 CPP ; TF 7B_712/2024 précité, ibid., et les réf. citées).</w:t>
      </w:r>
    </w:p>
    <w:p>
      <w:r>
        <w:rPr>
          <w:b/>
        </w:rPr>
        <w:t>E. 4</w:t>
      </w:r>
    </w:p>
    <w:p>
      <w:r>
        <w:t>Selon l'art. 251 ch. 1 CP, se rend coupable de faux dans les titres quiconque, dans le dessein de porter atteinte aux intérêts pécuniaires ou aux droits d'autrui, ou de se procurer ou de procurer à un tiers un avantage illicite, créé un titre faux, falsifie un titre, ou abuse de la signature ou de la marque à la main réelles d'autrui pour fabriquer un titre supposé, ou constate ou fait constater faussement, dans un titre, un fait ayant une portée juridique, ou, pour tromper autrui, fait usage d'un tel titre.</w:t>
      </w:r>
    </w:p>
    <w:p>
      <w:r>
        <w:rPr>
          <w:b/>
        </w:rPr>
        <w:t>E. 5.1</w:t>
      </w:r>
    </w:p>
    <w:p>
      <w:r>
        <w:t>En l’espèce, le Ministère public était habilité à rendre une ordonnance de non-entrée en matière plutôt qu’une ordonnance de classement, dès lors qu’il n’a pas directement procédé à des mesures d’instruction (cf. la jurisprudence citée au consid. 3.3 ci-dessus).</w:t>
      </w:r>
    </w:p>
    <w:p>
      <w:r>
        <w:rPr>
          <w:b/>
        </w:rPr>
        <w:t>E. 5.2</w:t>
      </w:r>
    </w:p>
    <w:p>
      <w:r>
        <w:t>Cela étant, l’ordonnance se fonde notamment, sinon essentiellement, sur la déposition de F.________ (PV aud. 1). Si ce dernier a admis avoir préparé les documents du crédit-bail, il a relevé, sans être affirmatif faute de s’en souvenir, qu’il « pens[ait] » les avoir transmis au recourant pour qu’il les signe. À la question de savoir comment il se déterminait sur la plainte déposée par le recourant, il a répondu ce qui suit : « Quand on conclut un contrat, on doit présenter une pièce d’identité avec 12J010</w:t>
      </w:r>
    </w:p>
    <w:p>
      <w:r>
        <w:t>- 7 - signature. (…). Vous me demandez si (le plaignant) m’a déjà prêté sa pièce d’identité. Je vous réponds que je ne peux pas m’en souvenir. Cependant, je ne verrais là pas l’utilité étant donné que je ne suis pas assez bon en dessin pour copier une signature. Je ne peux pas vous dire si les faits qui me sont reprochés sont vrais. Il faudrait que je puisse voir la signature qui a été faite et la pièce d’identité » (sic). Comme la police ne pouvait pas lui montrer la pièce d’identité, seul lui a été présenté le contrat de crédit-bail, dont il a nié que la signature qui y figurait fût la sienne. Au surplus, la comparaison des signatures figurant sur le contrat, d’une part, et sur la plainte pénale, d’autre part, permet de penser que les paraphes se ressemblent mais ne sont pas identiques ; cette dissemblance ne paraît pas découler des effets de l’écoulement du temps sur le trait de plume d’un unique signataire. Enfin, l’argument selon lequel les redevances avaient été payées d’avril à septembre 2019 par la société, dont le recourant était alors encore gérant avec signature individuelle, n’est pas pertinent pour exclure toute infraction en l’état, singulièrement celle de faux dans les titres. En effet, il n’est contesté par personne que F.________ en exerçait la gestion de fait (cf. not. PV aud. 1, R. 7) ; en outre, il est l’oncle du recourant, dont il est de dix ans l’aîné (PV aud. 1, R. 4 et 5 ; P. 4). Ces circonstances sont, a priori, de nature à lui conférer un certain ascendant sur celui-ci. Dans ces conditions, on ne saurait, du moins en l’état, exclure qu’un faux dans les titres ait été commis.</w:t>
      </w:r>
    </w:p>
    <w:p>
      <w:r>
        <w:rPr>
          <w:b/>
        </w:rPr>
        <w:t>E. 5.3</w:t>
      </w:r>
    </w:p>
    <w:p>
      <w:r>
        <w:t>Le Ministère public devait dès lors enquêter sur l’utilisation du véhicule, ainsi que sur les signatures apposées sur le contrat de crédit-bail et les pièces d’identité produites auprès de l’institut financier. La non-entrée en matière, à ce stade, procède ainsi d’une fausse application de l’art. 310 al. 1 let. a CPP.</w:t>
      </w:r>
    </w:p>
    <w:p>
      <w:r>
        <w:rPr>
          <w:b/>
        </w:rPr>
        <w:t>E. 6</w:t>
      </w:r>
    </w:p>
    <w:p>
      <w:r>
        <w:t>En définitive, le recours doit être admis et l’ordonnance entreprise annulée. Le dossier de la cause sera renvoyé au Ministère public de l'arrondissement de l’Est vaudois pour qu’il procède dans le sens des considérants. 12J010</w:t>
      </w:r>
    </w:p>
    <w:p>
      <w:r>
        <w:t>- 8 - Vu le sort du recours, les frais de la procédure, constitués du seul émolument d’arrêt, par 880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Le recourant, qui a procédé avec l’assistance d’un conseil de choix et qui a obtenu gain de cause, a droit, à la charge de l’Etat,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retenu une durée d’activité totale de trois heures au tarif horaire de 300 fr. (art. 26a al. 3 TFIP ; TF 7B_35/2022 du 22 février 2024, JdT 2024 III 61 ; TF 7B_423/2023 du 4 mars 2025 consid. 4.3.2), à hauteur de 900 francs. A ce montant il convient d’ajouter des débours forfaitaires à concurrence de 2 % des honoraires admis (art. 19 al. 2 TDC [Tarif des dépens en matière civile du 23 novembre 2010 ; BLV 270.11.6]), par 18 fr., plus la TVA au taux de 8,1 %, par 74 fr. 35. L’indemnité s’élève ainsi à 993 fr. au total, en chiffres arrondis. Par ces motifs, la Chambre des recours pénale prononce : I. Le recours est admis. II. L’ordonnance du 14 octobre 2025 est annulée. III. Le dossier de la cause est renvoyé au Ministère public de l’arrondissement de l’Est vaudois pour qu’il procède dans le sens des considérants. IV. Les frais d’arrêt, par 880 fr. (huit cent huitante francs), sont laissés à la charge de l’Etat. 12J010</w:t>
      </w:r>
    </w:p>
    <w:p>
      <w:r>
        <w:t>- 9 - V. L’avance de frais de 770 fr. (sept cent septante francs) versée par le recourant à titre de sûretés lui est restituée. VI. Une indemnité de 993 fr. (neuf cent nonante-trois francs) est allouée à B.________ pour la procédure de recours, à la charge de l’Etat. VII. L’arrêt est exécutoire. Le président : Le greffier : Du Le présent arrêt, dont la rédaction a été approuvée à huis clos, est notifié, par l'envoi d'une copie complète, à : - Me Marc-Aurèle Vollenweider, avocat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