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PE25.002795 vom 11. Februar 2025</w:t>
      </w:r>
    </w:p>
    <w:p>
      <w:r>
        <w:t>VD Tribunal cantonal, 2025-02-11, FR</w:t>
      </w:r>
    </w:p>
    <w:p>
      <w:r>
        <w:rPr>
          <w:b/>
        </w:rPr>
        <w:t xml:space="preserve">Quelle: </w:t>
      </w:r>
      <w:r>
        <w:t>https://mcp.opencaselaw.ch/entscheid/vd_gerichte_PE25.002795</w:t>
      </w:r>
    </w:p>
    <w:p>
      <w:r>
        <w:t>FR: VD_GERICHTE PE25.002795 du 11 février 2025</w:t>
      </w:r>
    </w:p>
    <w:p>
      <w:r>
        <w:t>IT: VD_GERICHTE PE25.002795 del 11 febbraio 2025</w:t>
      </w:r>
    </w:p>
    <w:p>
      <w:pPr>
        <w:pStyle w:val="Heading2"/>
      </w:pPr>
      <w:r>
        <w:t>Erwägungen</w:t>
      </w:r>
    </w:p>
    <w:p>
      <w:r>
        <w:rPr>
          <w:b/>
        </w:rPr>
        <w:t>E. 1.1</w:t>
      </w:r>
    </w:p>
    <w:p>
      <w:r>
        <w:t>Selon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Aux termes de l’art. 411 CPP, les</w:t>
      </w:r>
    </w:p>
    <w:p>
      <w:r>
        <w:t>- 4 - demandes de révision doivent être motivées et adressées par écrit à la juridiction d’appel. Les motifs de révision doivent être exposés et justifiés dans la demande (al. 1). La demande de révision visée à l'art. 410 al. 1 let. a CPP n'est soumise à aucun délai (al. 2, 2e phrase).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La juridiction d'appel n'entre pas en matière si la demande est manifestement irrecevable ou non motivée ou si une demande de révision invoquant les mêmes motifs a déjà été rejetée par le passé (art. 412 al. 2 CPP).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du 24 avril 2019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w:t>
      </w:r>
    </w:p>
    <w:p>
      <w:r>
        <w:t>- 5 -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1er juillet 2020 consid. 2.1). Les conditions d’une révision visant une ordonnance pénale sont particulièrement restrictives. En effet, l’ordonnance pénale est rendue dans le cadre d’une procédure spéciale (art. 352 ss CPP), qui a pour particularité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w:t>
      </w:r>
    </w:p>
    <w:p>
      <w:r>
        <w:t>- 6 - l’ordonnance ou dont il ne pouvait pas se prévaloir ou n’avait pas de raisons de se prévaloir à cette époque (ATF 130 IV 72 consid. 2.3 ; TF 6B_662/2019 du 23 août 2019 consid. 1.1 ; TF 6B_1261/2018 du 19 mars 2019 consid. 2.2).</w:t>
      </w:r>
    </w:p>
    <w:p>
      <w:r>
        <w:rPr>
          <w:b/>
        </w:rPr>
        <w:t>E. 1.2</w:t>
      </w:r>
    </w:p>
    <w:p>
      <w:r>
        <w:t>Le requérant fait d’abord valoir que sa maladie le met dans l’incapacité de pouvoir assurer toutes les tâches administratives, financières et juridiques, raison pour laquelle il bénéficie d’une curatelle. Il explique ensuite qu’afin de rendre service à un ami, il a accepté que la voiture de son fils soit immatriculée à son nom malgré le fait qu’il n’en fasse aucun usage. Dans ce contexte, [...], né le [...], aurait commencé à utiliser ce véhicule et de nombreuses amendes ont été prononcées contre lui de manière injustifiée. Après avoir eu connaissance de cette situation, ses co-curatrices ont pris contact avec la Ville de Lausanne pour tenter de régler la situation. Toutefois, trois ordonnances pénales n’ont pas pu faire l’objet d’une opposition dans les temps. Il explique que deux d’entre elles (n° 35335660 et n° 3538774, regroupées sous n° 3569755) ont été l’objet d’une poursuite dirigée contre lui, laquelle a abouti à un acte de défaut de bien pour un montant de 586 fr. 95. Quant à la troisième ordonnance (n° 3526574), elle fait l’objet d’une poursuite encore en cours à laquelle une opposition a été formée. Il relève que les autres ordonnances pénales ont été dûment transférées au nom de [...]. Dans ces circonstances, L.________ considère qu’il n’est aucunement responsable des infractions retenues contre lui dans les trois ordonnances pénales en cause, raison pour laquelle il sollicite leur révision.</w:t>
      </w:r>
    </w:p>
    <w:p>
      <w:r>
        <w:rPr>
          <w:b/>
        </w:rPr>
        <w:t>E. 1.3</w:t>
      </w:r>
    </w:p>
    <w:p>
      <w:r>
        <w:t>Comme on l’a vu (cf. consid. 1.1 in fine supra), les conditions d’une révision d’une ordonnance pénale sont restrictives, le requérant devant se manifester dans le délai d’opposition. Cela étant posé, il ressort du dossier que le requérant est atteint dans sa santé et qu’il doit être représenté par ses co-curatrices pour les affaires juridiques. Or les ordonnances pénales qu’il conteste semblent lui avoir été notifiées personnellement, à exclusion de ses représentantes. L’absence d’opposition découle dès lors d’un vice dans la</w:t>
      </w:r>
    </w:p>
    <w:p>
      <w:r>
        <w:t>- 7 - notification de la décision. Ce vice ne constitue toutefois pas un fait nouveau et doit être examiné dans le cadre d’une procédure ordinaire d’opposition à l’ordonnance pénale, ce moyen ayant trait à la recevabilité de l’opposition (cf. CAPE 8 novembre 2022 / 422).</w:t>
      </w:r>
    </w:p>
    <w:p>
      <w:r>
        <w:rPr>
          <w:b/>
        </w:rPr>
        <w:t>E. 2</w:t>
      </w:r>
    </w:p>
    <w:p>
      <w:r>
        <w:t>Il s’ensuit que la demande de révision déposée par L.________ doit être déclarée irrecevable, sans échange d’écritures (art. 412 al. 2 et 3 CPP). Enfin, contrairement à ce que semble penser le requérant, la Cour de céans n’est pas compétente en matière de poursuites et faillites, de sorte que les mesures provisionnelles sollicitées et les conclusions en restitution sont également irrecevables. Les frais de la procédure de révision, constitués du seul émolument d'arrêt, par 770 fr. (art. 21 al. 1 et 22 TFIP [Tarif des frais de procédure et indemnités en matière pénale du 28 septembre 2010 ; BLV 312.03.1]),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