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PE25.002495 vom 10. Oktober 2025</w:t>
      </w:r>
    </w:p>
    <w:p>
      <w:r>
        <w:t>VD Tribunal cantonal, 2025-10-10, FR</w:t>
      </w:r>
    </w:p>
    <w:p>
      <w:r>
        <w:rPr>
          <w:b/>
        </w:rPr>
        <w:t xml:space="preserve">Quelle: </w:t>
      </w:r>
      <w:r>
        <w:t>https://mcp.opencaselaw.ch/entscheid/vd_gerichte_PE25.002495</w:t>
      </w:r>
    </w:p>
    <w:p>
      <w:r>
        <w:t>FR: VD_GERICHTE PE25.002495 du 10 octobre 2025</w:t>
      </w:r>
    </w:p>
    <w:p>
      <w:r>
        <w:t>IT: VD_GERICHTE PE25.002495 del 10 ottobre 2025</w:t>
      </w:r>
    </w:p>
    <w:p>
      <w:pPr>
        <w:pStyle w:val="Heading2"/>
      </w:pPr>
      <w:r>
        <w:t>Erwägungen</w:t>
      </w:r>
    </w:p>
    <w:p>
      <w:r>
        <w:rPr>
          <w:b/>
        </w:rPr>
        <w:t>E. 1.1</w:t>
      </w:r>
    </w:p>
    <w:p>
      <w:r>
        <w:t>; Harari/Corminboeuf Harari, in : Jeanneret/Kuhn/Perrier Depeursinge [éd.], Commentaire romand, Code de procédure pénale suisse, 2e éd., Bâle 2019 [ci-après : CR CPP], n. 11 ad art. 132 CPP et n. 16 ad art. 136 CPP). Le recours s’exerce par écrit, dans les dix jours, devant l’autorité de recours (art. 396 al. 1 CPP ; cf. art. 20 al. 1 let. b CPP), qui est, dans le canton de Vaud, la Chambre des recours pénale du Tribunal</w:t>
      </w:r>
    </w:p>
    <w:p>
      <w:r>
        <w:t>- 5 - cantonal (art. 13 LVCPP [loi vaudoise d’introduction du Code de procédure pénale suisse du 19 mai 2009 ; BLV 312.01] ; art. 80 LOJV [loi vaudoise d’organisation judiciaire du 12 décembre 1979 ; BLV 173.01]).</w:t>
      </w:r>
    </w:p>
    <w:p>
      <w:r>
        <w:rPr>
          <w:b/>
        </w:rPr>
        <w:t>E. 1.2</w:t>
      </w:r>
    </w:p>
    <w:p>
      <w:r>
        <w:t>Interjeté en temps utile, par la prévenue qui a qualité pour recourir (art. 382 al. 1 CPP) et satisfaisant aux conditions de forme prescrites (art. 385 al. 1 CPP), le recours est recevable. Les pièces nouvelles produites sont également recevables (art. 389 al. 3 CPP).</w:t>
      </w:r>
    </w:p>
    <w:p>
      <w:r>
        <w:rPr>
          <w:b/>
        </w:rPr>
        <w:t>E. 2.1</w:t>
      </w:r>
    </w:p>
    <w:p>
      <w:r>
        <w:t>La recourante estime d’abord que le Ministère public a retenu à tort un revenu de 5'649 fr. 65 correspondant à 4'849 fr. 65 de salaire mensuel moyen, 700 fr. d’allocations familiales et 100 fr. de contribution d’entretien. Selon elle son revenu moyen se monte à 4'441 francs et non à 4'849 fr. 65. Par ailleurs, les montants de 700 fr. et de 100 fr. qu’elle perçoit ne doivent pas être pris en compte dès lors qu’ils servent uniquement à couvrir les frais des enfants. Elle soutient ensuite que le Ministère public a retenu à tort que ses charges s’élevaient à 3'931 fr. 40, la procureure n’ayant pas tenu compte du montant correspondant à la base mensuelle du droit des poursuites de 1'350 francs.</w:t>
      </w:r>
    </w:p>
    <w:p>
      <w:r>
        <w:rPr>
          <w:b/>
        </w:rPr>
        <w:t>E. 2.2.1</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La défense d’office aux fins de protéger les intérêts du prévenu se</w:t>
      </w:r>
    </w:p>
    <w:p>
      <w:r>
        <w:t>- 6 -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TF 1B_510/2022 du 16 décembre 2022 consid. 3.1).</w:t>
      </w:r>
    </w:p>
    <w:p>
      <w:r>
        <w:rPr>
          <w:b/>
        </w:rPr>
        <w:t>E. 2.2.2</w:t>
      </w:r>
    </w:p>
    <w:p>
      <w:r>
        <w:t>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 TF 6B_593/2023 précité).</w:t>
      </w:r>
    </w:p>
    <w:p>
      <w:r>
        <w:t>- 7 -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TF 7B_611/2023 du 20 décembre 2023 consid. 3.2.1). La difficulté objective d’une cause est admise sur le plan juridique lorsque la subsomption des faits donne lieu à des doutes, que ce soit de manière générale ou dans le cas particulier (TF 7B_839/2023 précité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 TF 7B_611/2023 du 20 décembre 2023 consid. 3.2.1).</w:t>
      </w:r>
    </w:p>
    <w:p>
      <w:r>
        <w:rPr>
          <w:b/>
        </w:rPr>
        <w:t>E. 2.2.3</w:t>
      </w:r>
    </w:p>
    <w:p>
      <w:r>
        <w:t>Selon la jurisprudence, une personne est indigente lorsqu'elle n'est pas en mesure d'assumer les frais de la procédure sans porter atteinte au minimum nécessaire à son entretien et à celui de sa famille (ATF 144 III 531 consid. 4.1 ; ATF 141 III 369 consid. 4.1 ; TF 7B_356/2024 du 8 mai 2024 consid. 2.2.3).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w:t>
      </w:r>
    </w:p>
    <w:p>
      <w:r>
        <w:t>- 8 - ; TF 7B_356/2024 précité).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 Pour déterminer les charges d'entretien, il convient de se fonder sur le minimum vital du droit des poursuites augmenté d'un pourcentage de l’ordre de 25 %,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Il incombe au requérant de prouver les faits qui permettent de constater qu'il remplit les conditions de la mesure qu'il sollicite (ATF 135 I 221 consid. 5.1 ; TF 7B_846/2023 du 9 janvier 2024 consid. 2.2 et les références citées). Destinées exclusivement à l’entretien de l’enfant, les allocations familiales ne sont pas prises en compte dans le calcul du revenu du parent qui les reçoit (Stoudmann, Le divorce en pratique, 3ème éd., Ferlens 2025, p. 136 et les références citées). Pour déterminer les charges à inclure dans le minimum vital du droit des poursuites, les « Lignes directrices pour le calcul du minimum vital du droit des poursuites selon l’art. 93 LP » établies par la Conférence des préposés aux poursuites et faillites de Suisse, constitue le point de départ. Entrent notamment dans le minimum vital du droit des poursuites les postes suivants : le montant de base, les frais de logement, l’assurance maladie et les frais médicaux, certaines assurances sociales, les frais d’acquisition</w:t>
      </w:r>
    </w:p>
    <w:p>
      <w:r>
        <w:t>- 9 - du revenu, les frais de garde des enfants » (Stoudmann, op. cit., p. 182 et les références citées). Représentent les dépenses comprises dans le montant de base les frais pour l’alimentation, les vêtements et le linge y compris leur entretien, les soins corporels et de santé, l’entretien du logement, les assurances privées, les frais culturels ainsi que les dépenses pour l’éclairage, le courant électrique ou le gaz pur cuisiner (Stoudmann, op. cit., p. 183 et les références citées). Les montants de base varient selon la composition du ménage. Pour un débiteur monoparental avec obligation de soutien, le montant de base est de 1'350 fr., étant précisé qu’en présence d’une garde partagée, chacun des parents peut être considéré comme un débiteur monoparental avec obligation d’entretien (Stoudmann, op. cit., p. 183).</w:t>
      </w:r>
    </w:p>
    <w:p>
      <w:r>
        <w:rPr>
          <w:b/>
        </w:rPr>
        <w:t>E. 2.2.4</w:t>
      </w:r>
    </w:p>
    <w:p>
      <w:r>
        <w:t>Il incombe au requérant de prouver les faits qui permettent de constater qu'il remplit les conditions de la mesure qu'il sollicite. S'il ne fournit pas des renseignements suffisants (avec pièces à l'appui) pour permettre d'avoir une vision complète de sa situation financière, l'autorité peut nier l'indigence sans violer le droit constitutionnel à l'assistance judiciaire et, partant, rejeter la demande (ATF 125 IV 161 consid. 4a ; TF 7B_846/2023 précité).</w:t>
      </w:r>
    </w:p>
    <w:p>
      <w:r>
        <w:rPr>
          <w:b/>
        </w:rPr>
        <w:t>E. 2.3</w:t>
      </w:r>
    </w:p>
    <w:p>
      <w:r>
        <w:t>En l’occurrence, la recourante a manifestement raison. Les montants retenus pour ses revenus et ses charges ne correspondent de toute évidence pas à la réalité. En effet, comme on l’a vu (cf. consid. 2.2.3 supra), les allocations familiales sont destinées exclusivement à l’entretien de l’enfant et ne sont pas prises en compte dans le calcul du revenu du parent qui les reçoit. Il en va de même de la contribution d’entretien versée en faveur des enfants (cf. consid. 2.2.3). En outre, dans les charges, il ne faut pas seulement prendre en compte les dépenses figurant dans l’ordonnance attaquée (impôts, assurances, assurance-maladie, frais d’entretien de l’immeuble, intérêts hypothécaires), mais aussi le montant de base du minimum vital du droit des poursuites, qui est censé couvrir les autres dépenses (comme les frais d’alimentation, les vêtements et le linge et les soins corporels notamment). Or, en l’occurrence, comme la</w:t>
      </w:r>
    </w:p>
    <w:p>
      <w:r>
        <w:t>- 10 - recourante vit actuellement seule avec son fils, c’est un montant de 1'350 fr. qui aurait dû être pris en compte à ce titre, et qui a été omis. Dans ces conditions, si ces éléments erronés sont corrigés, la recourante se retrouve avec un manco, même dans l’hypothèse où son revenu moyen reste celui figurant dans l’ordonnance attaquée. En effet, si l’on ajoute 1'350 fr. aux charges retenues, on arrive à un total de charge de 5'281 fr. 40 (3'931 fr. 40 + 1'350 fr.), ce qui excède manifestement le montant de 4'849 fr. 65 retenu par le Ministère public à titre de salaire mensuel moyen. C’est donc à tort que le Ministère public a considéré que la recourante avait un disponible se montant à 1'718 fr. 25 lui permettant de faire face aux honoraires prévisibles de son conseil de choix. La condition de l’indigence étant réalisée, il faut analyser les autres conditions posées par l’art. 132 al. 2 CPP, soit examiner si l’affaire est ou non de peu de gravité, si elle présente sur le plan des faits ou du droit des difficultés que la prévenue ne pourrait pas surmonter seule, ou si d’autres motifs pourraient justifier l’intervention d’un défenseur (cf. consid. 2.1.1 in fine supra), afin déterminer si l’assistance d’un avocat est justifiée pour sauvegarder les intérêts de A.B.________. L’autorité précédente n’ayant pas instruit ces questions, et afin de garantir le principe de la double instance, l’ordonnance querellée doit être annulée et le dossier de la cause renvoyé au Ministère public pour qu’il les examine, puis rende une nouvelle décision.</w:t>
      </w:r>
    </w:p>
    <w:p>
      <w:r>
        <w:rPr>
          <w:b/>
        </w:rPr>
        <w:t>E. 3</w:t>
      </w:r>
    </w:p>
    <w:p>
      <w:r>
        <w:t>En définitive, le recours doit être admis, l’ordonnance querellée annulée et le dossier de la cause renvoyé au Ministère public pour qu’il procède dans le sens des considérants. Vu le sort du recours, les frais de la procédure, constitués de l’émolument d’arrêt, par 1’100 fr. (art. 20 al. 1 TFIP), seront laissés à la charge de l’Etat (art. 428 al. 4 CPP).</w:t>
      </w:r>
    </w:p>
    <w:p>
      <w:r>
        <w:t>- 11 - La recourante, qui obtient gain de cause et qui a procédé avec l’assistance d’un mandataire professionnel, a droit à une indemnité pour les dépenses occasionnées par l’exercice raisonnable de ses droits pour la procédure de recours, à la charge de l’Etat (art. 429 al. 1 let. a CPP applicable par renvoi de l’art. 436 al. 1 CPP). Au vu du mémoire produit et de la nature de la cause, cette indemnité sera fixée à 900 fr., sur la base d’une activité nécessaire d’avocat de 3 heures au tarif horaire de 300 fr., montant auquel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18 fr., plus un montant correspondant à la TVA, par 74 fr. 35, soit à 993 fr. au total, en chiffres arrondis. Par ces motifs, la Chambre des recours pénale prononce : I. Le recours est admis. II. L’ordonnance du 20 août 2025 est annulée. III. Le dossier de la cause est renvoyé au Ministère public de l’arrondissement du Nord vaudois pour qu’il procède dans le sens des considérants. IV. Les frais d’arrêt, par 1’100 fr. (mille cent francs), sont laissés à la charge de l’Etat. V. Une indemnité de 993 fr. (neuf cent nonante-trois francs) est allouée à A.B.________ pour la procédure de recours, à la charge de l'Etat. VI. L’arrêt est exécutoire. Le président : La greffière :</w:t>
      </w:r>
    </w:p>
    <w:p>
      <w:r>
        <w:t>- 12 - Du Le présent arrêt, dont la rédaction a été approuvée à huis clos, est notifié, par l'envoi d'une copie complète, à : - Me Audrey Gohl, avocate (pour A.B.________),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