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PE25.002098 vom 5. Mai 2025</w:t>
      </w:r>
    </w:p>
    <w:p>
      <w:r>
        <w:t>VD Tribunal cantonal, 2025-05-05, FR</w:t>
      </w:r>
    </w:p>
    <w:p>
      <w:r>
        <w:rPr>
          <w:b/>
        </w:rPr>
        <w:t xml:space="preserve">Quelle: </w:t>
      </w:r>
      <w:r>
        <w:t>https://mcp.opencaselaw.ch/entscheid/vd_gerichte_PE25.002098</w:t>
      </w:r>
    </w:p>
    <w:p>
      <w:r>
        <w:t>FR: VD_GERICHTE PE25.002098 du 5 mai 2025</w:t>
      </w:r>
    </w:p>
    <w:p>
      <w:r>
        <w:t>IT: VD_GERICHTE PE25.002098 del 5 maggio 2025</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interjeté en temps utile, auprès de l’autorité compétente, et par une partie plaignante qui a qualité pour recourir (art. 382 al. 1 CPP), le recours est recevable.</w:t>
      </w:r>
    </w:p>
    <w:p>
      <w:r>
        <w:rPr>
          <w:b/>
        </w:rPr>
        <w:t>E. 2</w:t>
      </w:r>
    </w:p>
    <w:p>
      <w:r>
        <w:t>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ATF 143 IV 241 consid. 2.2.1 ; TF 7B_107/2023 du 20 novembre 2024 consid. 2.1.2).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précité ; ATF 138</w:t>
      </w:r>
    </w:p>
    <w:p>
      <w:r>
        <w:t>- 6 - IV 86 précité consid. 4.1.2 ; ATF 137 IV 285 consid. 2.3 et les références citées, JdT 2012 IV 160).</w:t>
      </w:r>
    </w:p>
    <w:p>
      <w:r>
        <w:rPr>
          <w:b/>
        </w:rPr>
        <w:t>E. 2.1</w:t>
      </w:r>
    </w:p>
    <w:p>
      <w:r>
        <w:t>La plaignante soutient qu’il serait nécessaire de contacter Q.________, afin d’obtenir l’adresse exacte de la station-service, où les faits se seraient déroulés, qui ne serait pas située à Yvorne, mais proche d’Aigle. Elle fait également valoir qu’il existerait certainement des images de vidéosurveillance à même de corroborer ses dires. Enfin, la plaignante</w:t>
      </w:r>
    </w:p>
    <w:p>
      <w:r>
        <w:t>- 5 - indique qu’elle souhaiterait compléter sa plainte en ce sens que O.________ lui aurait craché au visage.</w:t>
      </w:r>
    </w:p>
    <w:p>
      <w:r>
        <w:rPr>
          <w:b/>
        </w:rPr>
        <w:t>E. 2.2.1</w:t>
      </w:r>
    </w:p>
    <w:p>
      <w:r>
        <w:t>Aux termes de l’art. 309 al. 1 let. a CPP, le Ministère public ouvre une instruction lorsqu’il ressort du rapport de police, des dénonciations ou de ses propres constatations des soupçons suffisants laissant présumer qu’une infraction a été commise. Conformément à l’art. 310 al. 1 CPP, le ministère public rend immédiatement une ordonnance de non-entrée en matière s’il ressort de la dénonciation ou du rapport de police : (let. a) que les éléments constitutifs de l’infraction ou les conditions à l’ouverture de l’action pénale ne sont manifestement pas réunis, (let. b) qu’il existe des empêchements de procéder, (let. c) ou que les conditions mentionnées à l’art. 8 CPP imposent de renoncer à l’ouverture d’une poursuite pénale.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w:t>
      </w:r>
    </w:p>
    <w:p>
      <w:r>
        <w:rPr>
          <w:b/>
        </w:rPr>
        <w:t>E. 2.2.2</w:t>
      </w:r>
    </w:p>
    <w:p>
      <w:r>
        <w:t>Selon l’art. 123 al. 1 CP, quiconque, intentionnellement, fait subir à une personne une autre atteinte à l’intégrité corporelle ou à la santé est puni sur plainte d’une peine privative de liberté de trois ans au plus ou d’une peine pécuniaire. Cette disposition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ou d’hématomes (résultant de la rupture de vaisseaux sanguins) laissant des traces pendant plusieurs jours,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119 IV 25 consid. 2a ; ATF 134 IV 189 consid. 1.1 ; TF 6B_1257/2023 du 18 juin 2024 consid. 2.1.1 et la référence citée).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(TF 6B_1257/2023 précité). Quant à l’art. 126 al. 1 CP, il prévoit que quiconque se livre sur une personne à des voies de fait qui ne causent ni lésion corporelle ni atteinte à la santé est, sur plainte, puni d’une amende (al. 1). Les voies de fait se définissent ainsi comme des atteintes physiques qui excèdent ce qui est socialement toléré mais qui ne causent ni lésions corporelles, ni dommage à la santé. Une telle atteinte peut exister même si elle n’a causé aucune douleur physique (ATF 134 IV 189 précité ; TF 6B_782/2020 du 7 janvier 2021 consid. 3.1 ; ATF 119 IV 25 précité).</w:t>
      </w:r>
    </w:p>
    <w:p>
      <w:r>
        <w:t>- 7 - Les art. 123 et 126 CP décrivent des infractions de nature intentionnelle, le dol éventuel étant suffisant (TF 6B_1257/2023 précité consid. 2.2).</w:t>
      </w:r>
    </w:p>
    <w:p>
      <w:r>
        <w:rPr>
          <w:b/>
        </w:rPr>
        <w:t>E. 2.3</w:t>
      </w:r>
    </w:p>
    <w:p>
      <w:r>
        <w:t>En l’espèce, l’analyse du Ministère public ne prête pas le flanc à la critique et peut être suivie. En effet, le témoin Q.________ – dont les déclarations ne sont au demeurant pas remises en question – n’a pas assisté à de la violence contre D.________. Au contraire, il a relaté avoir observé celle-ci insulter O.________, la traitant notamment de « pute », lancer des valises au sol, sans raison apparente, et se montrer violente physiquement envers la conductrice du bus. Quant à celle-ci, elle serait restée calme durant les évènements. Or, ces déclarations correspondent à la version des faits donnée par O.________, qui n’a pas nié avoir eu une altercation tant avec la recourante qu’avec B.________. Au surplus, comme l’a relevé le Ministère public, aucun élément matériel – photographie ou certificat médical – ne vient attester des prétendues griffures infligées à la recourante. Dans ces circonstances, force est de constater que les éléments constitutifs de l’infraction de voies de fait ne sont manifestement pas réalisés. Il n’est donc pas nécessaire d’ouvrir une instruction pour procéder aux investigations réclamées par la recourante, à savoir la production des images de vidéosurveillance, si tant est qu’elles existent, ainsi que la réaudition d’Q.________. Enfin, s’agissant des nouveaux faits reprochés à O.________, à savoir d’avoir craché au visage de D.________, ceux-ci seraient quoi qu’il en soit prescrits, le délai pour déposer plainte – de trois mois – étant échu (art. 31 CP).</w:t>
      </w:r>
    </w:p>
    <w:p>
      <w:r>
        <w:rPr>
          <w:b/>
        </w:rPr>
        <w:t>E. 3</w:t>
      </w:r>
    </w:p>
    <w:p>
      <w:r>
        <w:t>Au vu de ce qui précède, le recours, manifestement mal fondé, doit être rejeté, sans échange d’écritures (art. 390 al. 2 CPP), et l’ordonnance entreprise confirmée.</w:t>
      </w:r>
    </w:p>
    <w:p>
      <w:r>
        <w:t>- 8 - Les frais de la procédure de recours, constitués en l’espèce de l’émolument d’arrêt, par 770 fr. (art. 20 al. 1 TFIP [tarif des frais de procédure et indemnités en matière pénale du 28 septembre 2010 ; BLV 312.03.1]), seront mis à la charge de la recourante, qui succombe (art. 428 al. 1 CPP). Le montant de 770 fr. déjà versé par celle-ci à titre de sûretés sera entièrement compensé avec les frais d’arrêt mis à sa charge (art. 383 al. 1 CPP ; art. 7 TFIP). Par ces motifs, la Chambre des recours pénale prononce : I. Le recours est rejeté. II. L’ordonnance du 13 février 2025 est confirmée. III. Les frais d’arrêt, par 770 fr. (sept cent septante francs), sont mis à la charge de D.________. IV. Les frais fixés au chiffre III ci-dessus sont entièrement compensés avec le montant de 770 fr. (sept cent septante francs) déjà versé par D.________ à titre de sûretés. V. L’arrêt est exécutoire. La vice-présidente : La greffière : Du Le présent arrêt, dont la rédaction a été approuvée à huis clos, est notifié, par l'envoi d'une copie complète, à : - Mme D.________, - Ministère public central, et communiqué à : - Mme la Procureure de l’arrondissement de l’Est vaudois,</w:t>
      </w:r>
    </w:p>
    <w:p>
      <w:r>
        <w:t>- 9 -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