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PE25.001826 vom 30. Juni 2025</w:t>
      </w:r>
    </w:p>
    <w:p>
      <w:r>
        <w:t>VD Tribunal cantonal, 2025-06-30, FR</w:t>
      </w:r>
    </w:p>
    <w:p>
      <w:r>
        <w:rPr>
          <w:b/>
        </w:rPr>
        <w:t xml:space="preserve">Quelle: </w:t>
      </w:r>
      <w:r>
        <w:t>https://mcp.opencaselaw.ch/entscheid/vd_gerichte_PE25.001826</w:t>
      </w:r>
    </w:p>
    <w:p>
      <w:r>
        <w:t>FR: VD_GERICHTE PE25.001826 du 30 juin 2025</w:t>
      </w:r>
    </w:p>
    <w:p>
      <w:r>
        <w:t>IT: VD_GERICHTE PE25.001826 del 30 giugno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par le plaignant, dans le délai légal, auprès de l’autorité compétente et dans les formes prescrites (art. 385 al. 1 CPP), de sorte qu’il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Les infractions dénoncées par le recourant sont celles de calomnie et de diffamation.</w:t>
      </w:r>
    </w:p>
    <w:p>
      <w:r>
        <w:t>- 6 -</w:t>
      </w:r>
    </w:p>
    <w:p>
      <w:r>
        <w:rPr>
          <w:b/>
        </w:rPr>
        <w:t>E. 3.2</w:t>
      </w:r>
    </w:p>
    <w:p>
      <w:r>
        <w:t>Aux termes de l’art. 173 ch. 1 CP (Code pénal ; RS 311.0), se rend coupable de diffamation et est, sur plainte, puni d’une peine pécuniaire, quiconque, en s’adressant à un tiers, accuse une personne ou jette sur elle le soupçon de tenir une conduite contraire à l’honneur, ou de tout autre fait propre à porter atteinte à sa considération, ou quiconque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2.3.2 ; ATF 137 IV 313 consid. 2.1.1).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précité ; ATF 145 IV 462 consid. 4.2.3 ; ATF 137 IV 313 précité consid. 2.1.3). Du point de vue subjectif, il suffit que l’auteur ait eu conscience du caractère attentatoire à l’honneur de ses propos et qu’il les ait néanmoins proférés ; il n’est pas nécessaire qu’il ait eu la volonté de blesser la personne visée (ATF 137 IV 313 précité consid. 2.1.6 ; TF 6B_767/2023 du 29 novembre 2023 consid. 4.1.1 ; TF 6B_479/2022 du 9 février 2023 consid. 5.1.1). Selon l’art. 174 ch. 1 CP, se rend coupable de calomnie et est, sur plainte, puni d’une peine privative de liberté de trois ans au plus ou d’une peine pécuniaire, quiconque, connaissant la fausseté de ses allégations et en s’adressant à un tiers, accuse une personne ou jette sur elle le soupçon de tenir une conduite contraire à l’honneur, ou de tout autre fait propre à porter atteinte à sa considération, ou quiconque</w:t>
      </w:r>
    </w:p>
    <w:p>
      <w:r>
        <w:t>- 7 - propage de telles accusations ou de tels soupçons, alors qu’il en connaît l’inanité.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Sur le plan objectif, la calomnie implique donc la formulation ou la propagation d’allégations de fait fausses, qui soient attentatoires à l’honneur de la personne visée (TF 6B_1040/2022 précité ; TF 6B_1254/2019 du 16 mars 2020 consid. 6.1).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 TF 6B_1040/2022 précité ; TF 6B_1254/2019 précité).</w:t>
      </w:r>
    </w:p>
    <w:p>
      <w:r>
        <w:rPr>
          <w:b/>
        </w:rPr>
        <w:t>E. 4.1</w:t>
      </w:r>
    </w:p>
    <w:p>
      <w:r>
        <w:t>Le recourant reproche au Ministère public de ne pas avoir ouvert d’enquête, singulièrement de ne pas avoir cherché à interroger la personne agissant sous le pseudonyme de [...], dont [...] avait pourtant les coordonnées.</w:t>
      </w:r>
    </w:p>
    <w:p>
      <w:r>
        <w:rPr>
          <w:b/>
        </w:rPr>
        <w:t>E. 4.2</w:t>
      </w:r>
    </w:p>
    <w:p>
      <w:r>
        <w:t>Il ne fait aucun doute que l’internaute publiant sous le pseudonyme [...] a propagé sur les réseaux sociaux l’assertion selon laquelle le recourant avait des tendances pédophiles. Un tel écrit est de nature à porter atteinte à l’honneur pénalement protégé de celui contre qui il est dirigé. Cette publication a été relayée par les autres protagonistes des faits dénoncés. Elle a ainsi porté une grave atteinte à la</w:t>
      </w:r>
    </w:p>
    <w:p>
      <w:r>
        <w:t>- 8 - réputation du recourant. Les messages d’[...] découlant de la publication initiale n’ont cependant pas fait l’objet d’une plainte complémentaire.</w:t>
      </w:r>
    </w:p>
    <w:p>
      <w:r>
        <w:rPr>
          <w:b/>
        </w:rPr>
        <w:t>E. 4.3</w:t>
      </w:r>
    </w:p>
    <w:p>
      <w:r>
        <w:t>Reste à savoir si l’internaute publiant sous le pseudonyme de [...] peut être identifié. Il ressort de l’audition d’[...] que ce dernier sait qui est l’usager du compte [...] et connaît son numéro de téléphone. Il s’agit d’un certain [...], titulaire du raccordement [...] (PV aud. 2, R. 7). S’agissant des faits reprochés au recourant par les divers internautes en cause, il découle des auditions d’[...] et d’[...] que les gestes inconvenants reprochés au recourant lorsqu’il animait son stand consistaient dans le seul fait d’avoir pris la jeune fille dans ses bras en la saluant, sans autre acte équivoque. En particulier, [...] a nié que « ses mains [aie]nt jamais touché des parties sensibles de [s]on corps ». Elle a même qualifié cette accolade de maladroite plutôt que de malveillante (PV aud. 3, R. 8). Tous ont dit que le recourant était un peu « autiste » (cf. not. PV aud. 3, R. 6).</w:t>
      </w:r>
    </w:p>
    <w:p>
      <w:r>
        <w:rPr>
          <w:b/>
        </w:rPr>
        <w:t>E. 4.4</w:t>
      </w:r>
    </w:p>
    <w:p>
      <w:r>
        <w:t>Il ne fait aucun doute que le recourant a fait l’objet d’une campagne de dénigrement nauséabonde. Au vu des faits dénoncés et des pièces produites, le Ministère public était tenu d’ouvrir une enquête et, au moins, de tenter de rechercher qui était l’internaute publiant sous le pseudonyme [...], puisque la police avait une identité et un numéro de téléphone.</w:t>
      </w:r>
    </w:p>
    <w:p>
      <w:r>
        <w:rPr>
          <w:b/>
        </w:rPr>
        <w:t>E. 5</w:t>
      </w:r>
    </w:p>
    <w:p>
      <w:r>
        <w:t>En définitive, le recours doit être admis et l’ordonnance attaquée annulée. Le dossier de la cause sera renvoyé au Ministère public pour qu’il procède dans le sens des considérants. Les frais de procédure, constitués en l’espèce du seul émolument d’arrêt, par 880 fr. (art. 20 al. 1 TFIP [tarif des frais de procédure et indemnités en matière pénale du 28 septembre 2010 ; BLV 312.03.1]), seront laissés à la charge de l’Etat (art. 428 al. 4 CPP). Le montant de 770 fr. déjà versé par le recourant à titre de sûretés lui sera restitué (art. 383 al. 1 CPP ; art. 7 TFIP).</w:t>
      </w:r>
    </w:p>
    <w:p>
      <w:r>
        <w:t>- 9 - Par ces motifs, la Chambre des recours pénale prononce : I. Le recours est admis. II. L’ordonnance du 12 février 2025 est annulée. III. Le dossier de la cause est renvoyé au Ministère public de l’arrondissement de l’Est vaudois pour qu’il procède dans le sens des considérants. IV. Les frais d’arrêt, par 880 fr. (huit cent huitante francs), sont laissés à la charge de l’Etat.</w:t>
      </w:r>
    </w:p>
    <w:p>
      <w:r>
        <w:t>- 10 - V. L’avance de frais de 770 fr. (sept cent septante francs) versée par L.________ à titre de sûretés lui est restituée. VI. L’arrêt est exécutoire. Le président : Le greffier : Du Le présent arrêt, dont la rédaction a été approuvée à huis clos, est notifié, par l'envoi d'une copie complète, à : - M. L.________,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