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PE25.001525 vom 30. Oktober 2025</w:t>
      </w:r>
    </w:p>
    <w:p>
      <w:r>
        <w:t>VD Tribunal cantonal, 2025-10-30, FR</w:t>
      </w:r>
    </w:p>
    <w:p>
      <w:r>
        <w:rPr>
          <w:b/>
        </w:rPr>
        <w:t xml:space="preserve">Quelle: </w:t>
      </w:r>
      <w:r>
        <w:t>https://mcp.opencaselaw.ch/entscheid/vd_gerichte_PE25.001525</w:t>
      </w:r>
    </w:p>
    <w:p>
      <w:r>
        <w:t>FR: VD_GERICHTE PE25.001525 du 30 octobre 2025</w:t>
      </w:r>
    </w:p>
    <w:p>
      <w:r>
        <w:t>IT: VD_GERICHTE PE25.001525 del 30 ottobre 2025</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w:t>
      </w:r>
    </w:p>
    <w:p>
      <w:r>
        <w:t>- 4 -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la qualité pour recourir (art. 382 CPP) et dans les formes prescrites (art. 385 al. 1 CPP), le recours est recevable.</w:t>
      </w:r>
    </w:p>
    <w:p>
      <w:r>
        <w:rPr>
          <w:b/>
        </w:rPr>
        <w:t>E. 2.1</w:t>
      </w:r>
    </w:p>
    <w:p>
      <w:r>
        <w:t>Le recourant allègue en premier lieu que l’ordonnance entreprise se réfèrerait à des dispositions obsolètes et ne tiendrait pas compte de l’entrée en vigueur le 1er janvier 2024 de l’art. 255 al. 1bis CPP. Il fait ensuite valoir qu’hormis les soupçons de téléchargement qui font l’objet de l’enquête, le Ministère public n’indiquerait aucun indice concret permettant de le suspecter d’avoir commis d’autres infractions pour lesquelles le profilage ADN pourrait s’avérer indispensable. Le recourant invoque également une violation du principe de la proportionnalité, déclarant que la mesure litigieuse ne saurait être qualifiée d’atteinte légère au droit à la liberté personnelle, qu’il conteste les faits qui lui sont reprochés « avec des chances non négligeables de succès », qu’il n’aurait aucun antécédent et que sa profession ne saurait être considérée comme « à risque ». Il en déduit que l’exigence d’indices sérieux et concrets qu’il soit impliqué dans d’autres infractions d’une certaine gravité ne serait pas réalisée.</w:t>
      </w:r>
    </w:p>
    <w:p>
      <w:r>
        <w:rPr>
          <w:b/>
        </w:rPr>
        <w:t>E. 2.2.1</w:t>
      </w:r>
    </w:p>
    <w:p>
      <w:r>
        <w:t>Comme toute mesure de contrainte, le prélèvement d'un échantillon d'ADN et l'établissement d'un profil d'ADN sont de nature à porter atteinte au droit à la liberté personnelle (art. 10 al. 2 Cst. [Constitution fédérale de la Confédération suisse du 18 avril 1999 ; RS</w:t>
      </w:r>
    </w:p>
    <w:p>
      <w:r>
        <w:t>- 5 - 101]) et à la protection contre l'emploi abusif de données personnelles (art. 13 al. 2 Cst. et 8 CEDH [Convention de sauvegarde des droits de l’homme et des libertés fondamentales du 4 novembre 1950 ; RS 0.101] ; ATF 147 I 372 consid. 2.2 ; TF 7B_1290/2024 du 30 juin 2025 consid. 3.2.2.1). Ces mesures doivent ainsi être fondées sur une base légale suffisamment claire et précise, être justifiées par un intérêt public et être proportionnées au but visé (cf. art. 36 al. 1 à 3 Cst. ; ATF 147 I 372 consid. 2.3.3 ; TF 7B_1290/2024 précité consid. 3.2.2.1 et les arrêts cités).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2.2.2</w:t>
      </w:r>
    </w:p>
    <w:p>
      <w:r>
        <w:t>En vertu de l'art. 255 al. 1 let. a CPP, dans sa teneur au 1er janvier 2024 (RO 2023 p. 468),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 RS 363) (TF 7B_1290/2024 précité consid. 3.2.2.2 ; TF 7B_938/2024 du 31 mars 2025 consid. 2.1.2 ; cf. Message du Conseil fédéral du 28 août 2019 relatif à la modification du Code de procédure pénale, FF 2019 pp. 6351 ss, spéc. p. 6405 [ad art. 255 et 257 CPP]). En vertu de cette disposition, le prélèvement d'un échantillon et l'établissement d'un profil d'ADN ne sont pas limités à l'élucidation du crime ou du délit pour lequel le prévenu est poursuivi ; ils</w:t>
      </w:r>
    </w:p>
    <w:p>
      <w:r>
        <w:t>- 6 - peuvent également être ordonnés afin d'élucider des infractions passées ou futures qui sont encore inconnues des autorités de poursuite pénale (cf. ATF 145 IV 263 consid. 3.3 ; TF 7B_1290/2024 précité consid. 3.2.2.2 ; TF 7B_938/2024 du 31 mars 2025 consid. 2.1.2 et les arrêts cités). Le profil d'ADN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consid. 2.1 et les références citées ; TF 7B_1290/2024 précité consid. 3.2.2.2 et les arrêts cités).</w:t>
      </w:r>
    </w:p>
    <w:p>
      <w:r>
        <w:rPr>
          <w:b/>
        </w:rPr>
        <w:t>E. 2.2.3</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 TF 7B_1290/2024 précité consid. 3.2.2.3 et les arrêts cités).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consid. 3.4 et les références citées ; TF 7B_1290/2024 précité consid. 3.2.2.3 et les arrêts cités).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consid. 3.4 ; TF 7B_1290/2024 précité consid. 3.2.2.3 et les arrêts cités).</w:t>
      </w:r>
    </w:p>
    <w:p>
      <w:r>
        <w:t>- 7 -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7B_1290/2024 précité consid. 3.2.2.3 et les arrêts cités).</w:t>
      </w:r>
    </w:p>
    <w:p>
      <w:r>
        <w:rPr>
          <w:b/>
        </w:rPr>
        <w:t>E. 2.2.4</w:t>
      </w:r>
    </w:p>
    <w:p>
      <w:r>
        <w:t>L’art. 257 CPP, dans sa teneur au 1er janvier 2024, permet l’établissement d’un profil d’ADN dans le but d’élucider d’éventuelles infractions futures si une personne est condamnée pour un crime ou un délit, si des indices concrets laissent présumer qu’elle pourrait commettre d’autres crimes ou délits. Étant donné qu’il s’agit d’un pronostic de comportement, ce n’est pas le Ministère public durant l’instruction, mais le tribunal qui rend le jugement (ou le Ministère public en procédure de l’ordonnance pénale) qui peut ordonner une telle mesure. Les éléments permettant d’établir un tel pronostic sont en effet réunis à la fin des débats ou de l’instruction, mais pas lorsque débute l’instruction (Message précité, FF 2019 pp. 6351 ss, spéc. 6405).</w:t>
      </w:r>
    </w:p>
    <w:p>
      <w:r>
        <w:rPr>
          <w:b/>
        </w:rPr>
        <w:t>E. 2.3</w:t>
      </w:r>
    </w:p>
    <w:p>
      <w:r>
        <w:t>En l’espèce, l’ordonnance entreprise, qui mentionne dans son en-tête l’art. 7 de la loi sur les profils d’ADN pourtant abrogé depuis le 1er août 2023, retient que les soupçons à l’encontre du prévenu sont sérieux et concrets et qu’il est nécessaire d’établir son profil d’ADN aux fins « d’étendre les investigations à des infractions passées ou futures ». Le Ministère public ne soutient pas que l’établissement du profil d’ADN du recourant pourrait servir à élucider les faits objets de l’enquête en cours. A cet égard, compte tenu du signalement de la Police cantonale genevoise, il existe, à ce stade de l’enquête, des soupçons suffisants laissant présumer la commission par le recourant de l’infraction</w:t>
      </w:r>
    </w:p>
    <w:p>
      <w:r>
        <w:t>- 8 - réprimée par l’art. 197 al. 4 2e phrase CP (Code pénal suisse du 21 décembre 1937 ; RS 311.0), étant précisé que le matériel informatique saisi au domicile du recourant est en cours d’analyse (cf. P. 8, p. 4). Le Ministère public n’amène aucun élément de plus pour étayer le fait que le recourant pourrait être impliqué dans d’autres infractions, en particulier dans celle de l’art. 187 CP, ou qu’il pourrait en commettre dans le futur. Il n’allègue en particulier pas que le recourant aurait des antécédents pénaux ni qu’il serait pour un autre motif défavorablement connu de la police. Or, à la lumière de la nouvelle teneur des dispositions relatives à l’établissement d’un profil d’ADN, il appartenait au Ministère public d’exposer à tout le moins quels indices suggéraient l’implication du recourant dans la commission d’autres infractions que seule la comparaison de l’ADN permettrait de résoudre. Par ailleurs, comme on l’a vu, il n’appartient désormais plus au Ministère public, mais au juge du fond, de se prononcer sur la nécessité d’établir le profil d’ADN d’un condamné afin d’élucider ou de prévenir d’éventuelles infractions futures (cf. art. 257 CPP). Le procureur ne pouvait donc pas à ce stade ordonner l’établissement d’un profil d’ADN à titre préventif. Compte tenu de ce qui précède, c’est à tort que le Ministère public a ordonné l’établissement du profil d’ADN du recourant. Le prélèvement, non exploitable, doit donc être détruit.</w:t>
      </w:r>
    </w:p>
    <w:p>
      <w:r>
        <w:rPr>
          <w:b/>
        </w:rPr>
        <w:t>E. 2.4</w:t>
      </w:r>
    </w:p>
    <w:p>
      <w:r>
        <w:t>Cela étant, il y a lieu de préciser que l’issue du présent recours ne saurait empêcher la direction de la procédure d'ordonner à l’avenir – si les conditions en sont réunies – un nouveau prélèvement d’ADN et une nouvelle analyse, en conformité des normes applicables (cf. TF 1B_425/2017 du 13 mars 2018 consid 2.4, non publié à l’ATF 144 IV 127).</w:t>
      </w:r>
    </w:p>
    <w:p>
      <w:r>
        <w:rPr>
          <w:b/>
        </w:rPr>
        <w:t>E. 3</w:t>
      </w:r>
    </w:p>
    <w:p>
      <w:r>
        <w:t>En définitive, le recours doit être admis, l’ordonnance entreprise annulée et la destruction du prélèvement d’ADN n° 3362605828 ordonnée.</w:t>
      </w:r>
    </w:p>
    <w:p>
      <w:r>
        <w:t>- 9 - Vu l’admission du recours, les frais de la procédure, constitués en l’espèce du seul émolument d'arrêt, par 990 fr. (art. 20 al. 1 TFIP [tarif des frais de procédure et indemnités en matière pénale du 28 septembre 2010 ; BLV 312.03.1]), seront laissés à la charge de l’Etat (art. 423 CPP). Le recourant, qui a procédé avec l’assistance d’un avocat de choix et qui a obtenu gain de cause, a droit, de la part de l’Etat, à une indemnité pour les dépenses occasionnées par la procédure de recours. Au vu du mémoire produit, de l’absence de déterminations du Ministère public et de la nature de l’affaire, cette indemnité sera fixée à 900 fr., correspondant à trois heures d’activité nécessaire d’avocat au tarif horaire de 300 fr. (art. 26a al. 3 TFIP ; TF 7B_35/2022 du 22 février 2024 consid. 5.3 ; JdT 2024 III 61), montant auquel il convient d’ajouter des débours forfaitaires à concurrence de 2 % des honoraires admis (art. 19 al. 2 TDC [tarif des dépens en matière civile du 23 novembre 2010 ; BLV 270.11.6], applicable par renvoi de l’art. 26a al. 6 TFIP), par 18 fr., plus la TVA au taux de 8,1 %, par 74 fr. 35, soit à 993 fr. au total en chiffres arrondis. Par ces motifs, la Chambre des recours pénale prononce : I. Le recours est admis. II. L’ordonnance du 5 septembre 2025 est annulée. III. La destruction du prélèvement d’ADN n° 3362605828 est ordonnée. IV. Une indemnité de 993 fr. (neuf cent nonante-trois francs) est allouée à V.________ pour la procédure de recours, à la charge de l’Etat. V. Les frais d’arrêt, par 990 fr. (neuf cent nonante francs), sont laissés à la charge de l’Etat.</w:t>
      </w:r>
    </w:p>
    <w:p>
      <w:r>
        <w:t>- 10 - VI. L’arrêt est exécutoire. Le président : La greffière : Du Le présent arrêt, dont la rédaction a été approuvée à huis clos, est notifié, par l'envoi d'une copie complète, à : - Me Eric Stauffacher, avocat (pour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