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PE25.001458 vom 15. Oktober 2025</w:t>
      </w:r>
    </w:p>
    <w:p>
      <w:r>
        <w:t>VD Tribunal cantonal, 2025-10-15, FR</w:t>
      </w:r>
    </w:p>
    <w:p>
      <w:r>
        <w:rPr>
          <w:b/>
        </w:rPr>
        <w:t xml:space="preserve">Quelle: </w:t>
      </w:r>
      <w:r>
        <w:t>https://mcp.opencaselaw.ch/entscheid/vd_gerichte_PE25.001458</w:t>
      </w:r>
    </w:p>
    <w:p>
      <w:r>
        <w:t>FR: VD_GERICHTE PE25.001458 du 15 octobre 2025</w:t>
      </w:r>
    </w:p>
    <w:p>
      <w:r>
        <w:t>IT: VD_GERICHTE PE25.001458 del 15 ottobre 2025</w:t>
      </w:r>
    </w:p>
    <w:p>
      <w:pPr>
        <w:pStyle w:val="Heading2"/>
      </w:pPr>
      <w:r>
        <w:t>Erwägungen</w:t>
      </w:r>
    </w:p>
    <w:p>
      <w:r>
        <w:rPr>
          <w:b/>
        </w:rPr>
        <w:t>E. 4.1</w:t>
      </w:r>
    </w:p>
    <w:p>
      <w:r>
        <w:t>Le recourant soutient que des mesures de substitution permettraient dans tous les cas de pallier le risque de récidive. Il affirme tout d’abord que le Tribunal des mesures de contrainte ne pouvait pas prononcer la prolongation de la détention dans la mesure où le Ministère public avait uniquement conclu à la mise en place de mesures de substitution. Il conteste en outre l’analyse du Tribunal des mesures de contrainte sur l’efficacité des mesures de substitution proposées. Il lui reproche d’avoir examiné les mesures de façon indépendante plutôt que dans leur globalité. Selon lui, l’efficacité d’une obligation d’entamer un suivi psychologique ne serait pas mise à néant en raison de l’absence de preuve d’un suivi préexistant ou de démarches déjà entreprises dans ce sens, le tribunal pouvant conditionner la libération à l’entame de ce suivi. Cette mesure ainsi que le placement en foyer ne s’apparenteraient pas non plus à une mesure au sens de l’art. 59 CP, puisque les foyers envisagés s’occuperaient uniquement de l’accompagnement aux personnes en situation de précarité sociale ou de vulnérabilité psychique et n’incluraient pas de soins complexes ou une prise en charge thérapeutique. Il ne serait ainsi pas nécessaire de disposer d’une expertise psychiatrique pénale pour prononcer ces mesures. Le recourant invoque également une violation du principe de la proportionnalité. La durée de la détention subie se rapprocherait, voire aurait déjà dépassé, la peine privative de liberté qu’il encourrait en cas de condamnation.</w:t>
      </w:r>
    </w:p>
    <w:p>
      <w:r>
        <w:t>- 15 -</w:t>
      </w:r>
    </w:p>
    <w:p>
      <w:r>
        <w:rPr>
          <w:b/>
        </w:rPr>
        <w:t>E. 4.2.1</w:t>
      </w:r>
    </w:p>
    <w:p>
      <w:r>
        <w:t>Aux termes de l’art. 212 al. 2 let. c CPP, les mesures de contrainte entraînant une privation de liberté doivent être levées dès que des mesures de substitution permettent d’atteindre le même but.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w:t>
      </w:r>
    </w:p>
    <w:p>
      <w:r>
        <w:t>- 16 - romand, Code de procédure pénale suisse, 2e éd., Bâle 2019, n. 2 ad art. 237 CPP). Un placement en institution avant un jugement au fond n'est en principe pas exclu ; la liste des mesures de substitution énoncée à l'art. 237 CPP n'est en effet pas exhaustive (ATF 145 IV 503 consid. 3.1; 142 IV 367 consid. 2.1) et rien ne s'oppose à un tel placement, combiné le cas échéant avec d'autres mesures, si cela permet d'atteindre le même but que la détention. Une telle mesure doit cependant reposer sur un avis d'expert (TF 7B_810/2024 du 3 août 2024 consid. 4.2.1 et les références citées).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il est toutefois susceptible de faire l'objet d'une exécution anticipée de mesure selon l'art. 236 CPP, cette démarche supposant alors une demande du prévenu en ce sens et l'accord de la direction de la procédure (cf. art. 236 al. 1 CPP ; TF 7B_810/2024 précité consid. 4.2.1 et les références citées). Au demeurant,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précité consid. 4.2.1 et les références citées</w:t>
      </w:r>
    </w:p>
    <w:p>
      <w:r>
        <w:t>- 17 -</w:t>
      </w:r>
    </w:p>
    <w:p>
      <w:r>
        <w:rPr>
          <w:b/>
        </w:rPr>
        <w:t>E. 4.2.2</w:t>
      </w:r>
    </w:p>
    <w:p>
      <w:r>
        <w:t>Selon l’art. 212 al. 3 CPP, la détention provisoire ou pour des motifs de sûreté ne doit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et 5 par. 3 CEDH [Convention de sauvegarde des droits de l’homme est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La proportionnalité de la détention provisoire doit être examinée au regard de l’ensemble des circonstances concrètes du cas d’espèce (ATF 145 IV 179 consid. 3.5). Le juge peut dès lors maintenir la détention provisoire aussi longtemps qu'elle n'est pas très proche de la durée de la peine privative de liberté à laquelle il faut s'attendre concrètement en cas de condamnation (ATF 145 IV 179 consid. 3.1 ; TF 7B_808/2025 du 11 septembre 2025 consid. 3.2 et les références citées).</w:t>
      </w:r>
    </w:p>
    <w:p>
      <w:r>
        <w:rPr>
          <w:b/>
        </w:rPr>
        <w:t>E. 4.3</w:t>
      </w:r>
    </w:p>
    <w:p>
      <w:r>
        <w:t>En l’espèce, s’agissant des mesures de substitution tendant à obliger le recourant d’entamer un suivi psychologique et de se rendre régulièrement à la consultation ainsi qu’à se domicilier dans un foyer, contrairement à ce que l’intéressé allègue, le fait d’obliger un prévenu à suivre un traitement psychiatrique et à résider en foyer s’apparente à l’obligation de suivre un traitement ambulatoire au sens de l’art. 63 CP et, respectivement, à suivre un traitement institutionnel, au sens de l’art. 59 CP, ce dernier n’étant pas obligatoirement effectué dans un établissement fermé (art. 59 al. 3 CP a contrario). Aucune expertise psychiatrique n’a été mise en œuvre dans le cadre des précédentes enquêtes pénales dirigées contre le recourant ou dans le cadre de la présente enquête qui pourrait permettre de savoir s’il souffre d’un trouble mental, si les infractions commises sont en lien avec ce trouble et, si c’était le cas, quelles mesures pourraient être mises en œuvre pour le détourner de commettre de nouvelles infractions. Le rapport d’expertise rendu le 20 avril 2021 dans le</w:t>
      </w:r>
    </w:p>
    <w:p>
      <w:r>
        <w:t>- 18 - cadre de l’institution d’une mesure civile arrive bien à la conclusion que le recourant souffre de troubles mentaux, notamment en lien avec la consommation de substances, mais n’aborde pas les questions de savoir si ces troubles pourraient le pousser à commettre des actes du type de ceux qui lui sont reprochés et si des mesures pénales seraient aptes à réduire le risque de la commission de tels actes. Le Ministère public semble admettre que cette lacune pourrait être comblée par l’actualisation de l’expertise requise par la Justice de paix. Ce point peut rester indécis en attendant de voir ce qui figurera dans ledit rapport, dès lors que les mesures préconisées mentionnées ci-dessus ont les caractéristiques d’une mesure pénale au sens des art. 59 ss CP, que seul le juge du fond peut en principe ordonner, et qu’en l’état, les conditions posées par le Code pénal ne sont a priori pas assurées. Comme l’a relevé le Tribunal des mesures de contrainte, les interdictions de se rendre en ville de [...], d’entrer en contact avec A.________, E.________ et Q.________, et de faire acquisition ou de posséder tous types d’armes dépendraient uniquement de la bonne volonté du recourant et leur violation ne pourrait être constatée qu’a posteriori. Ces mesures ne sont donc pas aptes à mitiger le risque de récidive retenu. Compte tenu de ces éléments, c’est à raison que le Tribunal des mesures de contrainte a conclu que les mesures de substitution proposées n’étaient pas apte à pallier le risque de récidive présenté par le recourant. On ne voit au demeurant aucune autre mesure permettant d’atteindre ce but. Il peut être souligné qu’il conviendra d’envisager de façon sérieuse les mesures de substitution précitées si les conclusions du rapport d’expertise complémentaire ordonné par la Justice de paix devaient permettre de considérer qu’elles seraient aptes à pallier efficacement le risque de récidive. Dans la mesure où ce rapport d’expertise devait initialement être déposé au 15 mars 2025 (P. 14), on est en droit de penser qu’aucune nouvelle prolongation de délai ne sera accordée et que celui-ci sera effectivement rendu le 31 octobre 2025.</w:t>
      </w:r>
    </w:p>
    <w:p>
      <w:r>
        <w:t>- 19 - On relèvera encore que, contrairement à ce que le recourant soutient, le Ministère public a également conclu à la prolongation de la détention provisoire pour une durée de trois mois, bien que de façon subsidiaire. Le Tribunal des mesures de contrainte était donc parfaitement en droit de prononcer la prolongation de la détention provisoire du recourant en lieu et place des mesures de substitution. S’agissant de la proportionnalité de la durée de la détention, au regard des faits reprochés au recourant – il est notamment accusé de s’être rendu coupable de lésions corporelles simples qualifiées, de dommages à la propriété, de menaces et d’infraction à la LArm, qui sont toutes des infractions passibles d’une peine privative de liberté de trois ans – et de ses antécédents, la durée de la détention, même prolongée de deux mois, est proportionnée à la peine susceptible d’être prononcée à son encontre en cas de condamnation. Ce délai permettra au Ministère public de prendre connaissance des conclusions de l’expertise psychiatrique complémentaire avant de procéder aux opérations de clôture du dossier. Le principe de la proportionnalité n’a ainsi pas été violé.</w:t>
      </w:r>
    </w:p>
    <w:p>
      <w:r>
        <w:rPr>
          <w:b/>
        </w:rPr>
        <w:t>E. 5</w:t>
      </w:r>
    </w:p>
    <w:p>
      <w:r>
        <w:t>Au vu de ce qui précède, le recours, manifestement mal fondé (art. 390 al. 2 CPP), doit être rejeté, dans la mesure où il est recevable, sans échange d’écritures. L’ordonnance entreprise est confirmée. Il convient d’allouer à Me Frédéric Charpié, défenseur d’office de Z.________, une indemnité pour la procédure de recours. Au regard de l’acte de recours déposé, il y a lieu de retenir 3h00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L’indemnité nette s’élève ainsi à 540 francs. Viennent s’y ajouter des débours forfaitaires à hauteur de 2 % des honoraires admis (art. 3bis</w:t>
      </w:r>
    </w:p>
    <w:p>
      <w:r>
        <w:t>- 20 - al. 1 RAJ), par 10 fr. 80, et la TVA au taux de 8,1 % sur le tout, par 44 fr. 60. L’indemnité d’office s’élève ainsi à 596 fr. au total en chiffres arrondis. Les frais de la procédure de recours, constitués en l’espèce de l’émolument d’arrêt, par 1’980 fr. (art. 20 al. 1 TFIP), et de l’indemnité due au défenseur d’office (art. 422 al. 1 et 2 let. a CPP), par 629 fr., seront mis à la charge de Z.________ qui succombe (art. 428 al. 1 CPP). Le remboursement à l’Etat de l’indemnité allouée au défenseur d’office sera exigible du recourant dès que sa situation financière le permettra (art. 135 al. 4 CPP). Par ces motifs, la Chambre des recours pénale prononce : I. Le recours est rejeté dans la mesure où il est recevable. II. L’ordonnance du 29 septembre 2025 est confirmée. III. L’indemnité allouée à Me Frédéric Charpié, défenseur d’office de Z.________, est fixée à 596 fr. (cinq cent nonante-six francs). IV. Les frais d’arrêt, par 1’980 fr. (mille neuf cent huitante francs), ainsi que l’indemnité allouée à Me Frédéric Charpié, par 596 fr. (cinq cent nonante-six francs), sont mis à la charge de Z.________. V. Le remboursement à l’Etat de l’indemnité allouée au chiffre III ci-dessus sera exigible de Z.________ dès que sa situation financière le permettra. VI. L’arrêt est exécutoire. La vice-présidente : Le greffier :</w:t>
      </w:r>
    </w:p>
    <w:p>
      <w:r>
        <w:t>- 21 - Du Le présent arrêt, dont la rédaction a été approuvée à huis clos, est notifié, par l'envoi d'une copie complète, à : - Me Frédéric Charpié, avocat (pour Z.________), - Ministère public central, et communiqué à : - Mme la Présidente du Tribunal des mesures de contrainte, - Mme la Procureure de l’arrondissement de La Côte, - M. [...], Service des curatelles et tutelles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