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PE25.000585 vom 19. Februar 2025</w:t>
      </w:r>
    </w:p>
    <w:p>
      <w:r>
        <w:t>VD Tribunal cantonal, 2025-02-19, FR</w:t>
      </w:r>
    </w:p>
    <w:p>
      <w:r>
        <w:rPr>
          <w:b/>
        </w:rPr>
        <w:t xml:space="preserve">Quelle: </w:t>
      </w:r>
      <w:r>
        <w:t>https://mcp.opencaselaw.ch/entscheid/vd_gerichte_PE25.000585</w:t>
      </w:r>
    </w:p>
    <w:p>
      <w:r>
        <w:t>FR: VD_GERICHTE PE25.000585 du 19 février 2025</w:t>
      </w:r>
    </w:p>
    <w:p>
      <w:r>
        <w:t>IT: VD_GERICHTE PE25.000585 del 19 febbraio 2025</w:t>
      </w:r>
    </w:p>
    <w:p>
      <w:pPr>
        <w:pStyle w:val="Heading2"/>
      </w:pPr>
      <w:r>
        <w:t>Erwägungen</w:t>
      </w:r>
    </w:p>
    <w:p>
      <w:r>
        <w:rPr>
          <w:b/>
        </w:rPr>
        <w:t>E. 1</w:t>
      </w:r>
    </w:p>
    <w:p>
      <w:r>
        <w:t>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2.2.3 2.2.3.1 A teneur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w:t>
      </w:r>
    </w:p>
    <w:p>
      <w:r>
        <w:t>- 7 - L'escroquerie consiste à tromper la dupe. Par tromperie, il faut entendre tout comportement destiné à faire naître chez autrui une représentation erronée des faits (ATF 140 IV 11 consid. 2.3.2 ; ATF 135 IV 76 consid. 5.1).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142 IV 153 consid. 2.2.2 ; ATF 135 IV 76 précité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précité consid. 2.2.2 ; ATF 135 IV 76 précité consid. 5.2). La jurisprudence admet l'astuce dans le cas où la dupe n'a pas la possibilité de vérifier les affirmations transmises ou si leur vérification se révélait très difficile. Ces hypothèses se rencontrent notamment lorsque la tromperie porte sur des faits internes, comme la volonté d'exécuter un contrat. Une telle tromperie n'est toutefois astucieuse que dans la mesure où la vérification de la capacité et volonté d'exécution ne peut pas être exigée de la dupe (ATF 118 IV 359 consid. 2 ; TF 6B_239/2020 du 8 juin 2020 consid. 2.4 ; TF 6B_817/2018 du 23 octobre 2018 consid. 2.4.1 ; TF 6B_584/2018 du 30 août 2018 consid. 2.1).</w:t>
      </w:r>
    </w:p>
    <w:p>
      <w:r>
        <w:t>- 8 -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2.2.3.2 Aux termes de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Alors que la violence consiste dans l'emploi d'une force physique d'une certaine intensité à l'encontre de la victime (ATF 101 IV 42 consid. 3a ; TF 6B_1082/2021 du 18 mars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w:t>
      </w:r>
    </w:p>
    <w:p>
      <w:r>
        <w:t>- 9 - de moyens de contrainte qui, par leur intensité et leur effet, sont analogues à ceux qui sont cités expressément par la loi (ATF 141 IV 437 consid. 3.2.1 ; ATF 137 IV 326 consid. 3.3.1 ; TF 6B_637/2022 du 29 septembre 2022 consid. 5.1.2 ; TF 6B_1396/2021 du 28 juin 2022 consid. 3.1).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TF 6B_138/2023 du 18 octobre 2023 consid. 3. 1). Savoir si la restriction de la liberté d'action constitue une contrainte illicite dépend ainsi de l'ampleur de l'entrave, de la nature des moyens employés à la réaliser et des objectifs visés par l'auteur (ATF 129 IV 262 consid 2.1 ; ATF 129 IV 6 consid. 3.4 ; TF 6B_1238/2023 du 21 mars 2024 consid. 1.1.2).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 ATF 115 IV 207 consid. 2b/cc). A l'instar du dépôt d'une plainte pénale, la notification d'un commandement de payer est licite lorsqu'on est fondé à réclamer une somme. En revanche, utiliser un tel procédé comme moyen de pression est clairement abusif, donc illicite (ATF 115 III 18 consid. 3 ; TF 6B_1116/2021 du 22 juin 2022 consid. 2.1 ; TF 6B_1082/2021 du 18 mars 2022 consid. 2.1 ; TF 6B_124/2017 du 27 octobre 2017 consid. 2.1). 2.3</w:t>
      </w:r>
    </w:p>
    <w:p>
      <w:r>
        <w:t>- 10 - 2.3.1 En l’espèce, la motivation de l’acte de recours est insuffisante. Le recourant se limite à répéter que les éléments constitutifs des infractions en cause seraient réalisés, sans discuter valablement l’analyse – pertinente – du Ministère public. Le recourant ne cherche pas à établir en quoi la poursuite constituerait en l’espèce un moyen de pression abusif. Il se limite à contester la créance. Il n’apporte en outre aucun indice permettant de supposer que Z.________ et son avocat auraient introduit la poursuite en sachant pertinemment que la créance n’était pas due. Il n’explique pas non plus en quoi les précités auraient tenté de le tromper astucieusement. L’acte de recours ne semble ainsi pas remplir les exigences de motivation déduites de l’art. 385 al. 1 CPP par le Tribunal fédéral. Quoi qu’il en soit, le recours doit être rejeté sur le fond pour les motifs qui suivent. 2.3.2 Tout d’abord, le recourant se méprend en dirigeant sa plainte pénale contre l’Office des poursuites du district de [...]. Cet office agit en tant qu’autorité d’exécution neutre, chargée de mettre en œuvre les procédures prévues par la loi fédérale sur la poursuite pour dettes et la faillite du 11 avril 1889 (LP ; RS 281.1) sans se prononcer sur le bien-fondé de la créance. Autrement dit, du moment que la réquisition de poursuite est conforme à la loi, l’office doit l’exécuter (cf. art. 38 ss LP). L’office assume donc une tâche purement administrative et formelle, de sorte que les demandes formulées par celui-ci – aussi répétées soient-elles – ne peuvent constituer une quelconque forme de contrainte au sens du droit pénal. Le cas échéant, c’est la voie de la plainte au sens de l’art. 17 LP qui doit être utilisée. Ensuite, les faits reprochés à Z.________ et à son avocat ne sont constitutifs d’aucune infraction. Le recourant se limite à contester la créance qui fait l’objet de la poursuite. Selon lui, la tentative d’escroquerie résiderait dans le fait de lui faire reconnaître une dette inexistante. Or, aucune tromperie astucieuse ne peut être décelée dans les accusations formées par le recourant. On ne voit pas non plus en quoi l’introduction</w:t>
      </w:r>
    </w:p>
    <w:p>
      <w:r>
        <w:t>- 11 - d’une poursuite en paiement d’un loyer d’une place de parc constituerait, objectivement, une pression abusive sur le recourant, et ce quand bien même cette créance serait infondée. Il n’apparaît pas non plus que la poursuite aurait été introduite dans un but purement chicanier. A tout le moins, le recourant n’explique pas en quoi tel serait le cas, ne faisant en particulier pas état des informations transmises par Z.________ et son avocat dont il se prévaut. Les pièces produites à l’appui de sa plainte ne sont d’aucun secours à cet égard. Les faits dénoncés par le recourant reflètent bien plutôt un litige civil et c’est dans ce cadre que celui-ci trouvera les moyens juridiques appropriés pour se protéger contre une poursuite potentiellement injustifiée, tels que l’action en annulation de la poursuite prévue à l’art. 85a LP ou l’action du débiteur en constatation de l'inexistence de la créance de l’art. 88 LP (cf. ATF 141 III 68 ; ATF 147 III 544). Partant, c’est à bon droit que le Ministère public a refusé d’entrer en matière.</w:t>
      </w:r>
    </w:p>
    <w:p>
      <w:r>
        <w:rPr>
          <w:b/>
        </w:rPr>
        <w:t>E. 3</w:t>
      </w:r>
    </w:p>
    <w:p>
      <w:r>
        <w:t>Il s’ensuit que le recours, manifestement mal fondé, doit être rejeté, dans la mesure où il est recevable, sans échange d’écritures (art. 390 al. 2 CPP), et l’ordonnance entreprise confirmée. Les frais de procédure, constitués en l’espèce de l’émolument d’arrêt, par 1’210 fr. (art. 20 al. 1 TFIP [Tarif des frais de procédure et indemnités en matière pénale du 28 septembre 2010 ; RSV 312.03.1]), seront mis à la charge du recourant, qui succombent (art. 428 al. 1 CPP). Le montant de 770 fr. déjà versé par le recourant à titre de sûretés sera imputé sur ces frais (art. 383 al. 1 CPP ; art. 7 TFIP).</w:t>
      </w:r>
    </w:p>
    <w:p>
      <w:r>
        <w:t>- 12 - Par ces motifs, la Chambre des recours pénale prononce : I. Le recours est rejeté dans la mesure où il est recevable. II. L’ordonnance du 13 janvier 2025 est confirmée. III. Les frais d’arrêt, par 1’210 fr. (mille deux cent dix francs), sont mis à la charge de T.________. IV. L’avance de frais de 770 fr. (sept cent septante francs) versée par le recourant est imputée sur les frais mis à sa charge au chiffre III ci-dessus, le solde dû par le recourant à l’Etat s’élevant à 440 fr. (quatre cent quarante francs). V. L’arrêt est exécutoire. Le président : Le greffier : Du Le présent arrêt, dont la rédaction a été approuvée à huis clos, est notifié, par l'envoi d'une copie complète, à : - M. T.________,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- 13 -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