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PE25.000307 vom 27. August 2025</w:t>
      </w:r>
    </w:p>
    <w:p>
      <w:r>
        <w:t>VD Tribunal cantonal, 2025-08-27, FR</w:t>
      </w:r>
    </w:p>
    <w:p>
      <w:r>
        <w:rPr>
          <w:b/>
        </w:rPr>
        <w:t xml:space="preserve">Quelle: </w:t>
      </w:r>
      <w:r>
        <w:t>https://mcp.opencaselaw.ch/entscheid/vd_gerichte_PE25.000307</w:t>
      </w:r>
    </w:p>
    <w:p>
      <w:r>
        <w:t>FR: VD_GERICHTE PE25.000307 du 27 août 2025</w:t>
      </w:r>
    </w:p>
    <w:p>
      <w:r>
        <w:t>IT: VD_GERICHTE PE25.000307 del 27 agosto 2025</w:t>
      </w:r>
    </w:p>
    <w:p>
      <w:pPr>
        <w:pStyle w:val="Heading2"/>
      </w:pPr>
      <w:r>
        <w:t>Erwägungen</w:t>
      </w:r>
    </w:p>
    <w:p>
      <w:r>
        <w:rPr>
          <w:b/>
        </w:rPr>
        <w:t>E. 2</w:t>
      </w:r>
    </w:p>
    <w:p>
      <w:r>
        <w:t>A tout le moins à [...], au domicile conjugal, L.________ aurait régulièrement violenté physiquement et verbalement son épouse W.________, lui occasionnant des lésions. En particulier, le 7 janvier 2025, au domicile conjugal de [...], il l’aurait menacé de la frapper et de la tuer après qu’elle ait [sic] refusé de lui faire un « câlin », avant de la saisir par les cheveux, de l’étrangler à deux reprises, l’empêchant au moins à une reprise de respirer un instant. Il lui aurait également asséné des coups de pied et de poing. Par ailleurs, à cette occasion, il aurait tenté de la contraindre à accepter un « câlin » qu’elle ne voulait pas en la violentant.</w:t>
      </w:r>
    </w:p>
    <w:p>
      <w:r>
        <w:rPr>
          <w:b/>
        </w:rPr>
        <w:t>E. 2.1</w:t>
      </w:r>
    </w:p>
    <w:p>
      <w:r>
        <w:t>Le recourant explique en substance qu’il s’oppose à la suspension ordonnée au motif que les accusations portées à son encontre sont fausses, qu’il a besoin de parler de cette affaire avec sa mère et que s’il a demandé à sa sœur de parler avec son épouse, c’est uniquement pour vérifier les « choses » dont le procureur l’accuse.</w:t>
      </w:r>
    </w:p>
    <w:p>
      <w:r>
        <w:rPr>
          <w:b/>
        </w:rPr>
        <w:t>E. 2.2</w:t>
      </w:r>
    </w:p>
    <w:p>
      <w:r>
        <w:t>; ATF 145 I 318 précité consid. 2.2 et les références citées).</w:t>
      </w:r>
    </w:p>
    <w:p>
      <w:r>
        <w:rPr>
          <w:b/>
        </w:rPr>
        <w:t>E. 2.2.1</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w:t>
      </w:r>
    </w:p>
    <w:p>
      <w:r>
        <w:t>- 6 - L'art. 235 al. 1 CPP constitue la base légale permettant de restreindre les droits des prévenus dans la mesure où le but de la détention l'exige (TF 1B_452/2022 du 7 mars 2023 consid. 2.2 ; TF 1B_122/2020 du 20 mars 2020 consid. 2.1 à 2.3 ; TF 1B_410/2019 du 4 octobre 2019 consid. 3.1). Il appartient au législateur cantonal de régler les droits et les obligations des prévenus en détention (art. 235 al. 5 CPP ; TF 1B_452/2022 précité ; TF 1B_122/2020 précité ; TF 1B_410/2019 précité).</w:t>
      </w:r>
    </w:p>
    <w:p>
      <w:r>
        <w:rPr>
          <w:b/>
        </w:rPr>
        <w:t>E. 2.2.2</w:t>
      </w:r>
    </w:p>
    <w:p>
      <w:r>
        <w:t>Les mesures privatives de liberté s'accompagnent inévitablement de souffrance et d'humiliation. Cela étant, l'art.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(arrêt CourEDH Stanev c. Bulgarie, Grande Chambre, du 17 janvier 2012, requête n° 36760/06, § 204). 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150 I 50 consid. 3.2.1 ; ATF 149 I 161 consid. 2.2 ; ATF 145 I 318 consid. 2.1). Conformément aux exigences de l'art. 36 Cst., les restrictions à ces droits doivent reposer sur une base légale et ne pas aller au-delà de ce qui est nécessaire au but de l'incarcération et au fonctionnement de l'établissement de détention (ATF 150 I 50 précité ; ATF 145 I 318 précité ; ATF 143 I 241 consid. 3.4 et les références citées). Le principe de la proportionnalité, consacré de manière générale à l’art. 36 al. 3 Cst. et rappelé, en matière d'exécution de la détention, à l'art. 235 al. 1 CPP,</w:t>
      </w:r>
    </w:p>
    <w:p>
      <w:r>
        <w:t>- 7 -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150 I 50 précité ; ATF 149 I 161 précité consid. 2.1 ; ATF 145 I 318 précité et les références citées). Conformément à la jurisprudence du Tribunal fédéral, les visites ou les appels téléphoniques, même en faveur des proches, peuvent être refusés à la personne placée en détention provisoire en cas de danger important de collusion (ATF 143 I 241 précité consid. 3.6 et les références citées).</w:t>
      </w:r>
    </w:p>
    <w:p>
      <w:r>
        <w:rPr>
          <w:b/>
        </w:rPr>
        <w:t>E. 2.2.3</w:t>
      </w:r>
    </w:p>
    <w:p>
      <w:r>
        <w:t>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Cst. et la CEDH.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w:t>
      </w:r>
    </w:p>
    <w:p>
      <w:r>
        <w:t>- 8 - prison (ATF 150 I 50 précité consid. 3.2.3 ; ATF 149 I 161 précité consid.</w:t>
      </w:r>
    </w:p>
    <w:p>
      <w:r>
        <w:rPr>
          <w:b/>
        </w:rPr>
        <w:t>E. 2.2.4</w:t>
      </w:r>
    </w:p>
    <w:p>
      <w:r>
        <w:t>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2.3</w:t>
      </w:r>
    </w:p>
    <w:p>
      <w:r>
        <w:t>En l’espèce, le recourant est notamment mis en cause pour des actes de violences verbales, physiques et sexuelles envers son épouse W.________. Dans le cadre du règlement de leur séparation, il s’est engagé devant le juge civil à ne pas contacter celle-ci, et ce par quelque moyen que ce soit. Le Ministère public a averti le recourant une première fois le 10 mars 2025, puis une ultime fois le 19 mars 2025, qu’il n’était autorisé à parler qu’en français lors de ses conversations téléphoniques et uniquement avec la personne au bénéfice d’une autorisation. Il lui a été clairement signifié qu’en cas de nouvel écart, ses autorisations téléphoniques seraient temporairement suspendues. Sensible aux arguments du recourant qui a invoqué que sa mère ne parlait que le portugais, la procureure a, le 26 mars 2025, accepté qu’il puisse à l’avenir parler en portugais, mais avec sa mère uniquement.</w:t>
      </w:r>
    </w:p>
    <w:p>
      <w:r>
        <w:t>- 9 - Or, il apparaît qu’en dépit de la bienveillance de la procureure et des engagements pris, le recourant s’est par la suite non seulement entretenu en portugais avec une autre personne que sa mère mais surtout, qu’il a demandé à cette personne de prendre contact avec son épouse pour lui demander ce qu’elle avait dit au procureur en laissant entendre que ses accusations étaient fausses. Ainsi, force est de constater que le recourant persiste à ne pas se conformer aux règles qui lui sont fixées lors de la délivrance des autorisations de téléphone et, surtout, qu’il profite de ses entretiens téléphoniques pour chercher à entrer en contact avec sa femme par l’intermédiaire de tiers et ce alors que l’instruction est toujours en cours. La mesure ordonnée se justifiait donc pleinement pour préserver la victime du recourant et éviter tout risque de collusion. L’argument selon lequel il ne serait pas d’accord avec les accusations portées contre lui ne justifie pas une telle tentative d’intrusion. Il semble même révéler que la volonté du recourant était bien d’obtenir que son épouse revienne sur ses accusations.</w:t>
      </w:r>
    </w:p>
    <w:p>
      <w:r>
        <w:rPr>
          <w:b/>
        </w:rPr>
        <w:t>E. 3</w:t>
      </w:r>
    </w:p>
    <w:p>
      <w:r>
        <w:t>En définitive, le recours, manifestement mal fondé, doit être rejeté dans la mesure où il a un objet, sans échange d'écritures (art. 390 al. 2 CPP), et l'ordonnance confirmée. Vu l’issue de la cause,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dans la mesure où il a un objet. II. L’ordonnance du 18 juillet 2025 est confirmée. III. Les frais d’arrêt, par 990 fr. (neuf cent nonante francs), sont mis à la charge de L.________. IV. L’arrêt est exécutoire. Le président : Le greffier : Du Le présent arrêt, dont la rédaction a été approuvée à huis clos, est notifié, par l'envoi d'une copie complète, à : - Me David Moinat, avocat (pour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