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PE25.000066 vom 4. Juni 2025</w:t>
      </w:r>
    </w:p>
    <w:p>
      <w:r>
        <w:t>VD Tribunal cantonal, 2025-06-04, FR</w:t>
      </w:r>
    </w:p>
    <w:p>
      <w:r>
        <w:rPr>
          <w:b/>
        </w:rPr>
        <w:t xml:space="preserve">Quelle: </w:t>
      </w:r>
      <w:r>
        <w:t>https://mcp.opencaselaw.ch/entscheid/vd_gerichte_PE25.000066</w:t>
      </w:r>
    </w:p>
    <w:p>
      <w:r>
        <w:t>FR: VD_GERICHTE PE25.000066 du 4 juin 2025</w:t>
      </w:r>
    </w:p>
    <w:p>
      <w:r>
        <w:t>IT: VD_GERICHTE PE25.000066 del 4 giugno 2025</w:t>
      </w:r>
    </w:p>
    <w:p>
      <w:pPr>
        <w:pStyle w:val="Heading2"/>
      </w:pPr>
      <w:r>
        <w:t>Erwägungen</w:t>
      </w:r>
    </w:p>
    <w:p>
      <w:r>
        <w:rPr>
          <w:b/>
        </w:rPr>
        <w:t>E. 1.1.1</w:t>
      </w:r>
    </w:p>
    <w:p>
      <w:r>
        <w:t>Les parties peuvent attaquer une ordonnance de non- entrée en matière rendue par le Ministère public en application de l’art. 310 CPP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d’organisation judiciaire du 12 décembre 1979 ; BLV 173.01]).</w:t>
      </w:r>
    </w:p>
    <w:p>
      <w:r>
        <w:rPr>
          <w:b/>
        </w:rPr>
        <w:t>E. 1.1.2</w:t>
      </w:r>
    </w:p>
    <w:p>
      <w:r>
        <w:t>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 Selon la jurisprudence du Tribunal fédéral, le fardeau de la preuve de la notification et de la date de celle-ci incombe en principe à l’autorité qui entend en tirer une conséquence juridique (ATF 144 IV 57 consid. 2.3 ; ATF 142 IV 125 consid. 4). L’autorité supporte donc les conséquences de l’absence de preuve, notamment lorsqu’elle notifie une ordonnance par pli simple plutôt que d’user des formes de notification prévues à l’art. 85 al. 2 CPP, en ce sens que si la notification ou sa date sont contestées et qu’il existe effectivement un doute à ce sujet, il y a lieu de se fonder sur les déclarations du destinataire de l’envoi. La preuve de la notification peut néanmoins résulter d’autres indices ou de l’ensemble</w:t>
      </w:r>
    </w:p>
    <w:p>
      <w:r>
        <w:t>- 6 - des circonstances, par exemple un échange de correspondance ultérieur ou le comportement du destinataire (ATF 142 IV 125 précité consid. 4.3 et les références citées).</w:t>
      </w:r>
    </w:p>
    <w:p>
      <w:r>
        <w:rPr>
          <w:b/>
        </w:rPr>
        <w:t>E. 1.2</w:t>
      </w:r>
    </w:p>
    <w:p>
      <w:r>
        <w:t>En l’espèce, seule l’ordonnance pénale du 8 avril 2025 a été notifiée par courrier recommandé à l’adresse d’un tiers que le recourant avait donnée en Suisse, l’ordonnance de non-entrée en matière du 2 avril 2025 ayant été – semble-t-il –envoyée par pli simple à cette tierce personne pour information. On ignore ainsi à quelle date l’ordonnance contestée est parvenue auprès de ce tiers. Le recourant indique dans son acte qu’il l’a reçue en Moldavie de ce tiers le 18 avril 2025. Quant au recours, il est daté du 19 avril 2025 et a été posté le jour même en Moldavie. L’acte de recours paraît donc tardif. Cependant, dans la mesure où l’ordonnance attaquée n’a pas été envoyée par courrier recommandé, de sorte que la date de la notification ne peut être établie, et qu’il appartient à l’autorité de supporter les conséquences de l’absence de preuve de la notification lorsqu’elle communique une ordonnance, manifestement par pli simple, il s’ensuit que le recours est réputé déposé en temps utile, en l’absence d’élément établissant le contraire. Le recours a en outre été interjeté devant l’autorité compétente par la partie plaignante, qui a la qualité pour recourir (art. 382 al. 1 CPP). Toutefois, le respect des formes prescrites est douteux, comme on le verra ci-après (cf. infra consid. 2.2).</w:t>
      </w:r>
    </w:p>
    <w:p>
      <w:r>
        <w:rPr>
          <w:b/>
        </w:rPr>
        <w:t>E. 2.1.1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w:t>
      </w:r>
    </w:p>
    <w:p>
      <w:r>
        <w:t>- 7 -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 CREP 17 février 2025/110 consid. 1.4 et les références citées). L’art. 385 al. 2 CPP prévoit que si le mémoire ne satisfait pas à ces exigences, l’autorité de recours le renvoie au recourant pour qu’il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7B_587/2023 précité et les références citées).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7B_51/2024 du 25 avril 2024 consid. 2.2.2 ; TF 6B_1447/2022 du 14 mars 2023 consid. 1.1).</w:t>
      </w:r>
    </w:p>
    <w:p>
      <w:r>
        <w:t>- 8 -</w:t>
      </w:r>
    </w:p>
    <w:p>
      <w:r>
        <w:rPr>
          <w:b/>
        </w:rPr>
        <w:t>E. 2.1.2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6B_1444/2021 du 17 mai 2022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w:t>
      </w:r>
    </w:p>
    <w:p>
      <w:r>
        <w:t>- 9 -</w:t>
      </w:r>
    </w:p>
    <w:p>
      <w:r>
        <w:rPr>
          <w:b/>
        </w:rPr>
        <w:t>E. 2.1.3</w:t>
      </w:r>
    </w:p>
    <w:p>
      <w:r>
        <w:t>Aux termes de l’art. 312 CP, les membres d’une autorité et les fonctionnaires qui, dans le dessein de se procurer ou de procurer à un tiers un avantage illicite, ou dans le dessein de nuire à autrui, auront abusé des pouvoirs de leur charge, se rendent coupables d’abus d’autorité.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149 IV 128 consid. 1.3 ; ATF 127 IV 209 consid. 1a/aa). L’abus est également réalisé lorsque l’auteur poursuit un but légitime mais recourt, pour l’atteindre, à des moyens disproportionnés (ATF 144 IV 128 consid. 1.3 ; ATF 127 IV 209 précité consid. 1a/aa et b et les références citées ; TF 6B_518/2021 du 8 juin 2022 consid. 1.1). L’abus de pouvoir ne peut en principe pas être commis par omission (art. 11 CP), puisque l’infraction suppose l’exercice d’un acte de puissance publique (Dupuis et al. [éd.], Code pénal, Petit commentaire, 2e éd. 2017, n. 20 ad art. 312 CP). La simple violation des devoirs de service, même sanctionnée par l’autorité supérieure ou de recours, ne suffit pas pour considérer qu’il existe un abus ; il doit s’agir d’une violation insoutenable des règles applicables (Dupuis et al. [éd.], op. cit., n. 19 ad art. 312 CP et la référence citée).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(ATF 149 IV 128 précité et les références citées). Il faut admettre que l’auteur nuit à autrui dès qu’il utilise des moyens excessifs, même s’il poursuit un but légitime. Le motif pour lequel l’auteur agit est ainsi sans pertinence sur l’intention, mais a trait à l’examen de la culpabilité (TF 6B_1012/2017 du 23 mars 2018 consid. 1 ; TF 6B_923/2015 du 24 mai 2016 consid. 2.2 et les références citées).</w:t>
      </w:r>
    </w:p>
    <w:p>
      <w:r>
        <w:t>- 10 -</w:t>
      </w:r>
    </w:p>
    <w:p>
      <w:r>
        <w:rPr>
          <w:b/>
        </w:rPr>
        <w:t>E. 2.2</w:t>
      </w:r>
    </w:p>
    <w:p>
      <w:r>
        <w:t>En l’espèce, dans son acte, le recourant se réserve tout d’abord le droit de compléter son écriture. Toutefois, il ne l’a pas fait et un tel complément serait quoi qu’il en soit tardif et donc irrecevable. Il se réfère ensuite aux arguments qu’il a développés précédemment. Ce mode de faire n’est pas admissible, dès lors qu’il n’explique pas dans quelle mesure l’appréciation du Ministère public serait erronée et quels motifs commanderaient, en fait et en droit, une décision différente. D’ailleurs, le recourant conteste des faits, sans vraiment distinguer ce qui relève de l’ordonnance pénale ou de l’ordonnance de non-entrée en matière. S’agissant du témoin entendu par la police – le responsable de l’EVAM où sa femme et ses filles résident et qui a assisté aux faits –, le recourant prétend que ses déclarations ne peuvent « être retenues comme pertinentes et véridiques » en raison de leurs contradictions. Il ne démontre cependant pas que ce témoin – dont les dires ont confirmé ceux des policiers, notamment sur le caractère agité du recourant – aurait fait des déclarations contradictoires. Ce grief ne peut donc qu’être écarté. Enfin, il prétend que les policiers ont adopté « une perception partiale en faveur de [s]a femme » et l’ont désigné « comme un agresseur ». Ce faisant, il perd de vue que, lorsque les agents sont intervenus, c’est parce que lui-même s’est énervé et qu’il gesticulait, aux dires du témoin précité. On ne discerne ainsi pas en quoi les policiers auraient été partiaux dans ces circonstances. Au vu des éléments qui précèdent, et même si le recours ne semble pas satisfaire aux exigences de motivation de l’art. 385 al. 1 CPP, on peut ajouter que c’est à juste titre que le Ministère public a considéré que les éléments constitutifs d’une infraction pénale n’étaient pas réunis (art. 310 al. 1 let. a CPP) et qu’il a refusé d’entrer en matière sur la plainte du recourant.</w:t>
      </w:r>
    </w:p>
    <w:p>
      <w:r>
        <w:rPr>
          <w:b/>
        </w:rPr>
        <w:t>E. 3</w:t>
      </w:r>
    </w:p>
    <w:p>
      <w:r>
        <w:t>En définitive, le recours, manifestement mal fondé, doit être rejeté sans échange d’écritures (art. 390 al. 2 CPP) dans la mesure où il est recevable et l’ordonnance attaquée confirmée.</w:t>
      </w:r>
    </w:p>
    <w:p>
      <w:r>
        <w:t>- 11 - Le recours étant dépourvu de chance de succès, la requête tendant à ce que le recourant soit mis au bénéfice de l’assistance pour la procédure de recours doit être rejetée. Vu l’issue de la cause, les frais de la procédure de recours, constitués du seul émolument d’arrêt (art. 422 al. 1 CPP), par 1’100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2 avril 2025 est confirmée. III. La requête d’assistance judiciaire est rejetée. IV. Les frais d’arrêt, par 1’100 fr. (mille cent francs), sont mis à la charge de G.________. V. L’arrêt est exécutoire. Le président : La greffière : Du Le présent arrêt, dont la rédaction a été approuvée à huis clos, est notifié, par l’envoi d’une copie complète, à : - G.________ (via l’entraide judiciaire), - Ministère public central,</w:t>
      </w:r>
    </w:p>
    <w:p>
      <w:r>
        <w:t>- 12 -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