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PE24.028018 vom 18. Juni 2025</w:t>
      </w:r>
    </w:p>
    <w:p>
      <w:r>
        <w:t>VD Tribunal cantonal, 2025-06-18, FR</w:t>
      </w:r>
    </w:p>
    <w:p>
      <w:r>
        <w:rPr>
          <w:b/>
        </w:rPr>
        <w:t xml:space="preserve">Quelle: </w:t>
      </w:r>
      <w:r>
        <w:t>https://mcp.opencaselaw.ch/entscheid/vd_gerichte_PE24.028018</w:t>
      </w:r>
    </w:p>
    <w:p>
      <w:r>
        <w:t>FR: VD_GERICHTE PE24.028018 du 18 juin 2025</w:t>
      </w:r>
    </w:p>
    <w:p>
      <w:r>
        <w:t>IT: VD_GERICHTE PE24.028018 del 18 giugno 2025</w:t>
      </w:r>
    </w:p>
    <w:p>
      <w:pPr>
        <w:pStyle w:val="Heading2"/>
      </w:pPr>
      <w:r>
        <w:t>Erwägungen</w:t>
      </w:r>
    </w:p>
    <w:p>
      <w:r>
        <w:rPr>
          <w:b/>
        </w:rPr>
        <w:t>E. 1</w:t>
      </w:r>
    </w:p>
    <w:p>
      <w:r>
        <w:t>CPP), de sorte qu’il est recevable.</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dans le délai légal, auprès de l’autorité compétente et dans les formes prescrites (art. 385 al.</w:t>
      </w:r>
    </w:p>
    <w:p>
      <w:r>
        <w:rPr>
          <w:b/>
        </w:rPr>
        <w:t>E. 2</w:t>
      </w:r>
    </w:p>
    <w:p>
      <w:r>
        <w:t>Conformément à l'art. 310 al. 1 let. a CPP, le Ministère public rend immédiatement – c'est-à-dire sans qu'une instruction soit ouverte (art. 309 al. 1 et 4 CPP ; ATF 144 IV 81 consid. 2.3.3 ; Grodecki/Cornu, in : Commentaire romand, Code de procédure pénale suisse [ci-après : CR CPP], 2e éd. 2019, n. 2 ad art. 310 CPP) – une ordonnance de non-entrée en matière lorsqu'il apparaît, à réception de la dénonciation (cf. art. 301 et</w:t>
      </w:r>
    </w:p>
    <w:p>
      <w:r>
        <w:t>- 5 - 302 CPP) ou de la plainte (Grodecki/Cornu, CR CPP,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3.1</w:t>
      </w:r>
    </w:p>
    <w:p>
      <w:r>
        <w:t>Les recourants invoquent une violation du principe in dubio pro duriore. Ils font valoir que la régie et le propriétaire savaient que le logement présentait un défaut d’humidité et des moisissures dès 2020 mais n’ont jamais agi adéquatement, se contentant de solutions d’appoint. Ceux-ci avaient en particulier été informé le 1er juillet 2024 de la présence de moisissures dans la salle de bain ainsi que le 18 décembre 2024 du fait que les problèmes de moisissures persistaient depuis des années, ainsi que le lien fait le 7 octobre 2024 par la Dre [...] entre les moisissures et</w:t>
      </w:r>
    </w:p>
    <w:p>
      <w:r>
        <w:t>- 6 - l’état de santé de B.P.________. Les recourants avaient en outre transmis au propriétaire et à la régie le rapport médical du médecin précité du 31 janvier 2025 ainsi que l’analyse de la maison effectuée par l’entreprise [...]. Malgré la connaissance de l’aggravation de l’état de santé de l’enfant en raison de la présence de moisissures, les intéressés n’auraient entrepris aucune mesure pour éliminer les problèmes. Pourtant, un bailleur avisé d’une défectuosité dans le logement serait dans l’obligation d’agir afin d’éviter tout dommage corporel. Le Ministère public aurait dû ouvrir une instruction pour éclaircir les faits. S’agissant du lien de causalité entre la présence de moisissure dans la maison et les problèmes de santé de B.P.________, les recourants soutiennent avoir fourni un ensemble d’élément suffisamment probants – notamment le rapport du 31 janvier 2025 de la Dre [...] – pour qu’à tout le moins le Ministère public ouvre une instruction.</w:t>
      </w:r>
    </w:p>
    <w:p>
      <w:r>
        <w:rPr>
          <w:b/>
        </w:rPr>
        <w:t>E. 3.2.1</w:t>
      </w:r>
    </w:p>
    <w:p>
      <w:r>
        <w:t>Aux termes de l’art. 125 al. 1 CP, quiconque, par négligence, fait subir à une personne une atteinte à l’intégrité corporelle ou à la santé est, sur plainte, puni d’une peine privative de liberté de trois ans au plus ou d’une peine pécuniaire. Si la lésion est grave, l’auteur est poursuivi d’office (art. 125 al. 2 CP). Cette infraction suppose la réalisation de trois conditions, à savoir une négligence, une atteinte à l'intégrité physique et un lien de causalité naturelle et adéquate entre ces deux éléments (TF 6B_286/2022 du 15 juin 2023 consid. 4.1.1 ; TF 6B_375/2022 du 28 novembre 2022 consid. 3.1.1 ; TF 6B_491/2021 du 23 mai 2022 consid. 2.1).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Pour déterminer plus précisément les devoirs imposés par la</w:t>
      </w:r>
    </w:p>
    <w:p>
      <w:r>
        <w:t>- 7 - prudence, on peut se référer à des normes édictées par l'ordre juridique pour assurer la sécurité et éviter des accidents (ATF 143 IV 138 consid. 2.1). 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 ATF 134 IV 255 consid. 4.2.1 et les références citées).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w:t>
      </w:r>
    </w:p>
    <w:p>
      <w:r>
        <w:t>- 8 -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ATF 134 IV 255 consid. 4.4.2 ; ATF 133 IV 158 consid. 6.1 ; ATF 131 IV 145 consid. 5.2 ; cf. en matière de circulation routière : TF 6B_286/2022 précité consid. 4.1.1 et ATF 127 IV 34 consid. 2a).</w:t>
      </w:r>
    </w:p>
    <w:p>
      <w:r>
        <w:rPr>
          <w:b/>
        </w:rPr>
        <w:t>E. 3.2.2</w:t>
      </w:r>
    </w:p>
    <w:p>
      <w:r>
        <w:t>En vertu de l’art. 256 al. 1 CO (Code des obligations du 30 mars 1911 ; RS 220), le bailleur est tenu de délivrer la chose à la date convenue, dans un état approprié à l’usage pour lequel elle a été louée, et de l’entretenir en cet état.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 TF 4A_395/2017 du 11 octobre 2018 consid. 5.2).</w:t>
      </w:r>
    </w:p>
    <w:p>
      <w:r>
        <w:rPr>
          <w:b/>
        </w:rPr>
        <w:t>E. 3.3</w:t>
      </w:r>
    </w:p>
    <w:p>
      <w:r>
        <w:t>En l’espèce, il semble ressortir des pièces produites par les recourants à l’appui de la plainte et du recours que les moisissures dans la villa sont apparues à la suite d’un dégât d’eau, alors que l’ancien locataire vivait dans ce logement, soit en 2020 déjà. Le Ministère public, tout en admettant la présence de moisissures, a retenu que rien ne démontrait que l’intensité de celles-ci serait telle qu’elle aurait pu créer un danger pour la santé. Cet argument n’est pas soutenable, dès lors que le Ministère public n’est pas en mesure d’apprécier lui-même les quantités de moisissures qui s’avéreraient nocives, d’une part, et que de toute manière l’OFSP indique clairement que les moisissures sont nocives pour la santé sans évoquer de seuil particulier, qu’elles doivent être rapidement</w:t>
      </w:r>
    </w:p>
    <w:p>
      <w:r>
        <w:t>- 9 - éliminées et qu’il est essentiel de comprendre d’où provient l’humidité (cf. P. 5/1). Ensuite, il ressort des documents produits par les recourants que le propriétaire et la régie auraient été conscients des problèmes d’humidité et de moisissure. Dans un courriel du 23 mars 2020, la régie a évoqué des « dégâts causés par l’humidité au rez et au sous-sol » (P. 5/10, p. 13). Dans un courriel du 30 mars 2020, les recourants ont notamment informé la régie du fait que « la fuite de l’évier de la cuisine a non seulement inondé le sous-sol, mais également recouvert la maison de moisissures » et ont signalé de la « moisissure noire dans la douche à l’étage » (P. 5/10, p. 3). Le 31 mars 2020, la régie a notamment répondu qu’elle « prenait bonne note de [leur] remarque sur la présence de moisissures dans la douche […] » et a demandé une photographie pour voir si elle pouvait faire quelque chose (P. 5/10, p. 1). Les recourants ont par ailleurs produit un lot de photographies – non datées – sur lesquelles on distingue plusieurs traces de moisissures à plusieurs endroits de la maison (P. 5/11). Les recourants prétendent qu’aucun travail d’assainissement n’a été réalisé malgré les bons pour travaux délivrés par la régie le 11 juillet 2024 (P. 5/12-14). Le 18 décembre 2024, ils ont, par leur conseil, averti la régie et le propriétaire des conséquences des moisissures sur l’état de santé de leur fille et les ont mis en demeure de remédier aux défauts (P. 7/2/9), en vain selon leurs dires. L’affectation durable du logement par des moisissures, la connaissance par la régie et le propriétaire de l’existence de ces moisissures et de leur caractère nocif ainsi que le refus ou le retard éventuels dans la réalisation de travaux et l’adéquation de ceux-ci pour remédier aux problèmes d’humidité constatés, malgré les prétendues réitérées demandes des recourants, sont toutes des questions que l’enquête doit permettre de résoudre, notamment par l’audition des différentes personnes impliquées, ce d’autant que l’art. 256 CO pourrait fonder une position de garant. Le Ministère public ne pouvait pas simplement refuser d’entrer en matière sans aucune mesure d’instruction ni même investigation policière. S’agissant de la causalité entre la</w:t>
      </w:r>
    </w:p>
    <w:p>
      <w:r>
        <w:t>- 10 - présence de moisissures dans la maison et l’affection à la santé de l’enfant, il ne semble pas être contesté que B.P.________ soit tombée malade six mois après l’emménagement des recourants. Afin de déterminer si cette affection est due à la présence des moisissures, l’enquête devrait à tout le moins examiner les consultations médicales de l’enfant, en vue de déterminer les symptômes dont elle a souffert. Par la suite, la situation s’est compliquée, puisqu’elle a été affectée par la maladie de Lyme et le rôle des moisissures auraient été celui d’un inhibiteur de traitement, selon la spécialiste sud-africaine consultée, la Dre [...]. Sur ce point également, il y a matière à instruire, le Ministère public ne pouvant se contenter d’ignorer l’avis du médecin. Ainsi, le Ministère public a violé le principe in dubio pro duriore et il lui appartiendra d’ouvrir une instruction pénale, les conditions de l’art. 310 al. 1 let. a CPP n’étant pas remplies.</w:t>
      </w:r>
    </w:p>
    <w:p>
      <w:r>
        <w:rPr>
          <w:b/>
        </w:rPr>
        <w:t>E. 4</w:t>
      </w:r>
    </w:p>
    <w:p>
      <w:r>
        <w:t>En définitive, le recours doit être admis et l’ordonnance attaquée annulée, le dossier étant renvoyé au Ministère public de l’arrondissement de La Côte pour qu’il procède dans le sens des considérants. Les recourants, qui obtiennent gain de cause et qui ont procédé avec l’assistance d’un avocat de choix, ont droit à une indemnité pour les dépenses occasionnées par la procédure de recours (art. 436 CPP). Au vu de l’acte de recours et de la nature de l’affaire, cette indemnité sera fixée à 1’500 fr., correspondant à 5 heures d’activité d’avocat au tarif horaire de 300 fr. (art. 26a al. 3 TFIP [tarif des frais de procédure et indemnités en matière pénale du 28 septembre 2010 ; BLV 312.03.1] ; cf. TF 7B_35/2022 du 22 février 2024, JdT 2024 III 61), auxquels il convient d’ajouter des débours forfaitaires à concurrence de 2 %, par 30 fr., plus un montant correspondant à la TVA, par 123 fr. 95, soit à 1’654 fr. au total en chiffres arrondis. Cette indemnité sera laissée à la charge de l’Etat (art. 436 al. 2 CPP).</w:t>
      </w:r>
    </w:p>
    <w:p>
      <w:r>
        <w:t>- 11 - Vu le sort du recours, les frais de la procédure, constitués du seul émolument d’arrêt, par 1’100 fr. (art. 20 al. 1 TFIP), seront laissés à la charge de l’Etat (art. 428 al. 4 CPP). Le montant de 770 fr. déjà versé par les recourants à titre de sûretés leur sera restitué (art. 383 al. 1 CPP ; art.</w:t>
      </w:r>
    </w:p>
    <w:p>
      <w:r>
        <w:rPr>
          <w:b/>
        </w:rPr>
        <w:t>E. 7</w:t>
      </w:r>
    </w:p>
    <w:p>
      <w:r>
        <w:t>TFIP). Par ces motifs, la Chambre des recours pénale prononce : I. Le recours est admis. II. L’ordonnance du 6 mars 2025 est annulée. III. Le dossier est renvoyé au Ministère public de l’arrondissement de La Côte pour qu’il procède dans le sens des considérants. IV. Une indemnité de 1’654 fr. (mille six cent cinquante-quatre francs), débours et TVA compris, est allouée à A.P.________ et N.________, solidairement entre eux, pour la procédure de recours, à la charge de l’Etat. V. Les frais d’arrêt, par 1'100 fr. (mille cent francs), sont laissés à la charge de l’Etat. VI. Le montant de 770 fr. (sept cent septante francs) versé par les recourants à titre de sûretés leur est restitué. VII. L’arrêt est exécutoire. Le président : Le greffier : Du Le présent arrêt, dont la rédaction a été approuvée à huis clos, est notifié, par l'envoi d'une copie complète, à : - Me Arnaud Nussbaumer-Laghzaoui, avocat (pour A.P.________ et N.________), - Ministère public central,</w:t>
      </w:r>
    </w:p>
    <w:p>
      <w:r>
        <w:t>- 12 -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