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PE24.027765 vom 17. April 2025</w:t>
      </w:r>
    </w:p>
    <w:p>
      <w:r>
        <w:t>VD Tribunal cantonal, 2025-04-17, FR</w:t>
      </w:r>
    </w:p>
    <w:p>
      <w:r>
        <w:rPr>
          <w:b/>
        </w:rPr>
        <w:t xml:space="preserve">Quelle: </w:t>
      </w:r>
      <w:r>
        <w:t>https://mcp.opencaselaw.ch/entscheid/vd_gerichte_PE24.027765</w:t>
      </w:r>
    </w:p>
    <w:p>
      <w:r>
        <w:t>FR: VD_GERICHTE PE24.027765 du 17 avril 2025</w:t>
      </w:r>
    </w:p>
    <w:p>
      <w:r>
        <w:t>IT: VD_GERICHTE PE24.027765 del 17 aprile 2025</w:t>
      </w:r>
    </w:p>
    <w:p>
      <w:pPr>
        <w:pStyle w:val="Heading2"/>
      </w:pPr>
      <w:r>
        <w:t>Erwägungen</w:t>
      </w:r>
    </w:p>
    <w:p>
      <w:r>
        <w:rPr>
          <w:b/>
        </w:rPr>
        <w:t>E. 1</w:t>
      </w:r>
    </w:p>
    <w:p>
      <w:r>
        <w:t>Le 7 avril 2025, P.________ a déclaré retirer le recours qu’il avait déposé le 6 mars 2025 contre l’ordonnance de non-entrée en matière rendue le 25 février 2025 par le Ministère public. Partant, il y a lieu de prendre acte du retrait du recours (art. 386 al. 2 let. b CPP).</w:t>
      </w:r>
    </w:p>
    <w:p>
      <w:r>
        <w:rPr>
          <w:b/>
        </w:rPr>
        <w:t>E. 2.1</w:t>
      </w:r>
    </w:p>
    <w:p>
      <w:r>
        <w:t>Selon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2.2</w:t>
      </w:r>
    </w:p>
    <w:p>
      <w:r>
        <w:t>En l’espèce, la Chambre de céans est compétente pour statuer sur la demande de récusation formée par P.________, dès lors qu’elle est dirigée contre une magistrate du Ministère public.</w:t>
      </w:r>
    </w:p>
    <w:p>
      <w:r>
        <w:rPr>
          <w:b/>
        </w:rPr>
        <w:t>E. 3.1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w:t>
      </w:r>
    </w:p>
    <w:p>
      <w:r>
        <w:t>- 5 - déchéance (ATF 140 I 271 consid. 8.4.3 ; TF 7B_266/2023 du 6 décembre 2023 consid. 3.2).</w:t>
      </w:r>
    </w:p>
    <w:p>
      <w:r>
        <w:rPr>
          <w:b/>
        </w:rPr>
        <w:t>E. 3.2</w:t>
      </w:r>
    </w:p>
    <w:p>
      <w:r>
        <w:t>En l’espèce, le motif de récusation invoqué par le requérant réside dans le fait que la Procureure aurait erré en rendant une ordonnance de non-entrée en matière, ce que le conseil de P.________ n’a pu constater qu’au moment de la notification de cette ordonnance, soit le 26 février 2024. Partant, on peut admettre que, déposée le 6 février 2025, la demande de récusation l’a été en temps utile. Elle est donc recevable. Par ailleurs, elle conserve un objet, quand même la Procureure Z.________ a quitté ses fonctions auprès du Ministère public de l’arrondissement de l’Est vaudois depuis le 1er avril 2025, dès lors que le requérant demande l’annulation des actes de procédure auxquels cette dernière a participé (art. 60 al. 1 CPP), ce qu’il est recevable à faire dans la même écriture que celle dans laquelle il demande la récusation (ATF 144 IV 90 consid. 1.1.2).</w:t>
      </w:r>
    </w:p>
    <w:p>
      <w:r>
        <w:rPr>
          <w:b/>
        </w:rPr>
        <w:t>E. 4.1</w:t>
      </w:r>
    </w:p>
    <w:p>
      <w:r>
        <w:t>A l’appui de sa demande de récusation, le requérant fait valoir que la procureure aurait commis plusieurs erreurs de droit qui seraient de nature à la rendre suspecte de prévention. Il lui reproche en premier lieu d’avoir rendu une ordonnance de non-entrée en matière, alors qu’il n’était plus possible de le faire compte tenu de l’acte d’instruction qu’elle avait accompli, savoir la production d’une copie des renseignement fiscaux. Il soutient ensuite que la procureure ne pouvait pas rendre une ordonnance de non-entrée en matière, dès lors que sa plainte « suscitait de nombreuses interrogations rendant ainsi nécessaire une instruction complète ». La Procureure Z.________ a expliqué qu’aucune mesure d’instruction n’avait été mise en œuvre, le fait de verser au dossier une pièce provenant d’une autre affaire ne constituant pas une mesure d’instruction annulable, puisque, à teneur de la Directive publique du Ministère public no 4.6, « les procureurs vaudois sont ainsi légitimés, pour les besoins d’une enquête en cours, à accéder directement et informellement au contenu d’une enquête d’un autre procureur vaudois</w:t>
      </w:r>
    </w:p>
    <w:p>
      <w:r>
        <w:t>- 6 - qui les intéresse, notamment informatiquement, et à en consulter les documents qui y figurent afin de déterminer si des éléments peuvent être utiles à leur propre enquête, y compris lorsqu’elle se trouve au stade du jugement » (ch. 3.6).</w:t>
      </w:r>
    </w:p>
    <w:p>
      <w:r>
        <w:rPr>
          <w:b/>
        </w:rPr>
        <w:t>E. 4.2</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148 IV 137 consid. 2.2).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TF 7B_963/2024 du 28 novembre 2024 consid. 2.2.3 ; TF 7B_645/2024, 7B_648/2024 du 20 novembre 2024 consid. 3.2.1 ; TF 7B_443/2024 du 26 juillet 2024 consid. 3.1.1).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7B_963/2024 précité). Dans ce contexte toutefois, seules des circonstances constatées objectivement doivent être prises en considération, les impressions purement subjectives des parties</w:t>
      </w:r>
    </w:p>
    <w:p>
      <w:r>
        <w:t>- 7 - n'étant pas décisives (ATF 144 I 159 consid. 4.3 ; ATF 142 III 732 consid.</w:t>
      </w:r>
    </w:p>
    <w:p>
      <w:r>
        <w:rPr>
          <w:b/>
        </w:rPr>
        <w:t>E. 4.2.2</w:t>
      </w:r>
    </w:p>
    <w:p>
      <w:r>
        <w:t>; TF 7B_963/2024 précité). L'impartialité subjective d'un magistrat se présume jusqu'à preuve du contraire (ATF 136 III 605 consid. 3.2.1 ; TF 7B_598/2024, 7B_600/2024, 7B_752/2024 du 5 novembre 2024 consid. 6.2.1). La garantie du juge impartial ne commande toutefois pas la récusation d'un juge au simple motif qu'il a, dans une procédure antérieure, tranché en défaveur de l'intéressé (ATF 143 IV 69 consid. 3.1 ; TF 7B_34/2024 du 3 avril 2024 consid. 2.4 ; TF 1B_105/2023 du 21 avril 2023 consid. 2 ; TF 1B_25/2022 du 18 mai 2022 consid. 2.2).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 7 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7B_645/2024, 7B_648/2024 précité ; TF 7B_443/2024 précité consid. 3.1.2).</w:t>
      </w:r>
    </w:p>
    <w:p>
      <w:r>
        <w:rPr>
          <w:b/>
        </w:rPr>
        <w:t>E. 4.3</w:t>
      </w:r>
    </w:p>
    <w:p>
      <w:r>
        <w:t>En l’espèce, contrairement à ce que plaide le requérant, on ne voit pas que la procureure ait erré en rendant une ordonnance de non- entrée en matière alors qu’elle avait fait verser au dossier une copie des renseignements fiscaux le concernant. Selon la jurisprudence, en effet, le Ministère public peut, avant même l’ouverture d’une instruction, procéder à certaines vérifications. Il peut aussi donner des directives et confier des mandats à la police dans le cadre des investigations policières (art. 307 al. 2 CPP ; TF 6B_866/2021 précité consid. 2.2.1 ; TF 6B_290/2020 du 17</w:t>
      </w:r>
    </w:p>
    <w:p>
      <w:r>
        <w:t>- 8 - juillet 2020 consid. 2.2). Il peut demander des compléments d'enquête à la police, non seulement lorsqu'il s'agit de compléter un précédent rapport au sens de l'art. 307 CPP, mais aussi lorsque la dénonciation elle-même apparaît insuffisante (art. 309 al. 2 CPP ; cf. TF 6B_866/2021 précité consid. 2.2.1). Il peut aussi procéder à ses propres constatations (cf. art. 309 al. 1 let. a CPP), ce qui comprend le droit de consulter les fichiers, dossiers et renseignements disponibles. Il peut demander à la personne mise en cause une simple prise de position (TF 6B_89/2022 du 2 juin 2022 consid. 2.2 ; TF 6B_866/2021 précité consid. 2.2.1). Il suit de là que le seul fait d’avoir consulté les renseignements qui étaient à sa disposition n’entraînait pas ipso facto l’ouverture d’une instruction, ni n’interdisait de rendre une ordonnance de non-entrée en matière. Le premier moyen du requérant s’avère ainsi mal fondé.</w:t>
      </w:r>
    </w:p>
    <w:p>
      <w:r>
        <w:rPr>
          <w:b/>
        </w:rPr>
        <w:t>E. 4.4</w:t>
      </w:r>
    </w:p>
    <w:p>
      <w:r>
        <w:t>Pour le reste, le requérant est pour le moins malvenu de tenter de tirer argument des prétendus vices qui affecteraient, en fait ou en droit, l’ordonnance de non-entrée en matière que la magistrate intimée a rendue pour accréditer la thèse d’une apparence de prévention, alors même qu’il a expressément renoncé à revendiquer le contrôle juridictionnel de cette décision. Or, comme on l’a déjà dit, il appartient aux juridictions compétentes, et non au juge de la récusation, de constater et de redresser les éventuelles erreurs commises par l’autorité d’instruction. En l’occurrence, la procureure a suffisamment motivé sa décision de ne pas entrer en matière sur la plainte du requérant. Quand le requérant lui reproche d’avoir tranché la question de l’existence d’un dommage sérieux en se plaçant de son point de vue et non de celui d’une personne de sensibilité moyenne, on ne voit pas qu’il soit interdit de tenir compte, en présence de la menace d’un dommage patrimonial, de la situation de fortune de celui qui est visé, dès lors que le caractère sérieux d’une menace de cette nature ne peut guère être appréhendé autrement que de manière relative ; en d’autres termes, c’est à travers le prisme d’une personne raisonnable placée dans les mêmes conditions que la personne concernée (« eine besonnene Person in der Lage des Betroffenen » : ATF 105 IV 120 consid. 2a) que la menace d’un dommage sérieux doit être examinée. Quoi qu’il en soit, à supposer qu’en retenant que les</w:t>
      </w:r>
    </w:p>
    <w:p>
      <w:r>
        <w:t>- 9 - commandements de payer notifiés au requérant n’étaient pas propres à l’entraver dans sa liberté d’action, la procureure ait mal appliqué la loi pénale – ce qui est loin d’être acquis, comme on vient de le voir –, on ne voit pas que son appréciation soit si manifestement insoutenable qu’elle puisse à elle seule fonder un soupçon de partialité. Enfin, quand le requérant conteste le raisonnement suivi par la magistrate intimée, au terme duquel celle-ci est parvenue à la conclusion que les poursuites engagées contre lui ne procèdent d’aucune manœuvre abusive, il ne fait qu’opposer sa propre appréciation à celle du Ministère public, sans tenter de démontrer que la position de l’autorité d’instruction serait à ce point aberrante qu’elle ne pourrait que trahir un parti pris en sa défaveur. On peut se contenter d’observer, à cet égard, que la chronologie des événements suivant laquelle c’est la société du prévenu qui a pris l’initiative de réclamer au requérant le paiement du prix de deux vélos qu’elle prétend que celui-ci lui aurait achetés le 22 juin 2024, tout comme le fait qu’elle ait été en mesure de produire des documents électroniques censés attester des commandes – étant précisé que, contrairement à ce qu’affirme le requérant, les sommes figurant dans le commandement de payer correspondent à celles qu’affichent les commandes produites sous P. 4/8 – sont autant d’éléments qui viennent accréditer la thèse selon laquelle le prévenu fait valoir de bonne foi des créances qu’il estime dues, peu importe d’ailleurs qu’elles le soient ou non, ce qu’il appartiendra, le cas échéant, au juge civil matériellement compétent de dire. En définitive, le requérant échoue à rendre plausible le moindre fait de nature à rendre la procureure intimée suspecte de prévention, ce qui scelle le sort de sa requête.</w:t>
      </w:r>
    </w:p>
    <w:p>
      <w:r>
        <w:rPr>
          <w:b/>
        </w:rPr>
        <w:t>E. 5</w:t>
      </w:r>
    </w:p>
    <w:p>
      <w:r>
        <w:t>En définitive, il doit être pris acte du retrait du recours interjeté le 6 mars 2025 par P.________. La demande de récusation déposée par le prénommé, manifestement mal fondée, doit être rejetée. Aux termes de l’art. 428 al. 1 CPP, les frais de la procédure de recours sont mis à la charge des parties dans la mesure où elles ont obtenu gain de cause ou succombé (1re phrase) ; la partie dont le recours est irrecevable ou qui retire le recours est également considérée avoir</w:t>
      </w:r>
    </w:p>
    <w:p>
      <w:r>
        <w:t>- 10 - succombé (2e phrase). Quant aux frais de la procédure de récusation, ils sont mis à la charge du requérant, qui succombe (art. 59 al. 4 CPP). Partant, les frais de la procédure de recours et de récusation, constitués de l’émolument d’arrêt, par 990 fr. (art. 20 al. 1 TFIP [tarif des frais de procédure et indemnités en matière pénale du 28 septembre 2010 ; BLV 312.03.1]), seront mis à la charge de P.________. Par ces motifs, la Chambre des recours pénale prononce : I. Il est pris acte du retrait du recours interjeté contre l’ordonnance rendue le 25 février 2025 par le Ministère public de l’arrondissement de l’Est vaudois. II. La requête de récusation présentée le 6 mars 2025 est rejetée. III. Les frais de la procédure de recours et de récusation, par 990 fr. (neuf cent nonante francs), sont mis à la charge de P.________. IV. L’arrêt est exécutoire. Le président : La greffière : Du Le présent arrêt, dont la rédaction a été approuvée à huis clos, est notifié, par l'envoi d'une copie complète, à : - Me Christian Dénériaz, avocat (pour P.________), - Ministère public central ;</w:t>
      </w:r>
    </w:p>
    <w:p>
      <w:r>
        <w:t>- 11 -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