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PE24.027287 vom 22. Januar 2026</w:t>
      </w:r>
    </w:p>
    <w:p>
      <w:r>
        <w:t>VD Tribunal cantonal, 2026-01-22, FR</w:t>
      </w:r>
    </w:p>
    <w:p>
      <w:r>
        <w:rPr>
          <w:b/>
        </w:rPr>
        <w:t xml:space="preserve">Quelle: </w:t>
      </w:r>
      <w:r>
        <w:t>https://mcp.opencaselaw.ch/entscheid/vd_gerichte_PE24.027287</w:t>
      </w:r>
    </w:p>
    <w:p>
      <w:r>
        <w:t>FR: VD_GERICHTE PE24.027287 du 22 janvier 2026</w:t>
      </w:r>
    </w:p>
    <w:p>
      <w:r>
        <w:t>IT: VD_GERICHTE PE24.027287 del 22 gennaio 2026</w:t>
      </w:r>
    </w:p>
    <w:p>
      <w:pPr>
        <w:pStyle w:val="Heading2"/>
      </w:pPr>
      <w:r>
        <w:t>Erwägungen</w:t>
      </w:r>
    </w:p>
    <w:p>
      <w:r>
        <w:rPr>
          <w:b/>
        </w:rPr>
        <w:t>E. 3</w:t>
      </w:r>
    </w:p>
    <w:p>
      <w:r>
        <w:t>Le recours étant manifestement dénué de chances de succès, de même que les conclusions civiles que le recourant aurait pu prendre, la requête d’assistance judiciaire est rejetée (art. 136 al. 1 let. b CPP). Le recourant ne sera dès lors pas exonéré des frais (art. 136 al. 2 let. b CPP).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d’assistance judiciaire est rejetée. III. Les frais d’arrêt, par 880 fr. (huit cent huitante francs), sont mis à la charge de B.________. IV. L’arrêt est exécutoire. La présidente : La greffière : Du Le présent arrêt, dont la rédaction a été approuvée à huis clos, est notifié, par l'envoi d'une copie complète, à : - Me Monica Mitrea, avocate (pour B.________), - Me Aurélie Cornamusaz, avocate (pour D.________), - Ministère public central, 12J010</w:t>
      </w:r>
    </w:p>
    <w:p>
      <w:r>
        <w:t>- 10 -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