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PE24.026942 vom 12. Januar 2026</w:t>
      </w:r>
    </w:p>
    <w:p>
      <w:r>
        <w:t>VD Tribunal cantonal, 2026-01-12, FR</w:t>
      </w:r>
    </w:p>
    <w:p>
      <w:r>
        <w:rPr>
          <w:b/>
        </w:rPr>
        <w:t xml:space="preserve">Quelle: </w:t>
      </w:r>
      <w:r>
        <w:t>https://mcp.opencaselaw.ch/entscheid/vd_gerichte_PE24.026942</w:t>
      </w:r>
    </w:p>
    <w:p>
      <w:r>
        <w:t>FR: VD_GERICHTE PE24.026942 du 12 janvier 2026</w:t>
      </w:r>
    </w:p>
    <w:p>
      <w:r>
        <w:t>IT: VD_GERICHTE PE24.026942 del 12 gennaio 2026</w:t>
      </w:r>
    </w:p>
    <w:p>
      <w:pPr>
        <w:pStyle w:val="Heading2"/>
      </w:pPr>
      <w:r>
        <w:t>Erwägungen</w:t>
      </w:r>
    </w:p>
    <w:p>
      <w:r>
        <w:rPr>
          <w:b/>
        </w:rPr>
        <w:t>E. 1</w:t>
      </w:r>
    </w:p>
    <w:p>
      <w:r>
        <w:t>Interjeté dans les formes et délais légaux (art. 399 CPP [Code de procédure pénale suisse du 5 octobre 2007 ; RS 312.0]) par une partie 13J010</w:t>
      </w:r>
    </w:p>
    <w:p>
      <w:r>
        <w:t>- 14 - ayant qualité pour recourir (art. 381 al. 1 CPP) contre le jugement d'un tribunal de première instance qui a clos la procédure (art. 398 al. 1 CPP), l’appel du Ministère public est recevable.</w:t>
      </w:r>
    </w:p>
    <w:p>
      <w:r>
        <w:rPr>
          <w:b/>
        </w:rPr>
        <w:t>E. 1.1</w:t>
      </w:r>
    </w:p>
    <w:p>
      <w:r>
        <w:t>; ATF 144 IV 345 consid. 2.2.3.1 ; TF 6B_617/2025 du 4 décembre 2025 consid. 1.2). En tant que règle sur le fardeau de la preuve, elle signifie, au stade du jugement, que ce fardeau incombe à l'accusation et que le doute 13J010</w:t>
      </w:r>
    </w:p>
    <w:p>
      <w:r>
        <w:t>- 16 -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TF 6B_617/2025 précité).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CR-CPP, n. 34 ad art. 10 CPP ; Kistler Vianin, in : CR-CPP,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7B_735/2023, 7b_1040/2023 du 18 décembre 2025 consid. 8.3 et les arrêts cités). 13J010</w:t>
      </w:r>
    </w:p>
    <w:p>
      <w:r>
        <w:t>- 17 - Les déclarations de la victime constituent un élément de preuve. Le juge doit, dans l'évaluation globale de l'ensemble des éléments probatoires rassemblés au dossier, les apprécier librement (TF 6B_617/2025 du 4 décembre 2025 consid. 1.3),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6B_617/2025 précité).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6B_494/2022 du 4 mai 2023 consid. 4.2 ; TF 6B_238/2020 du 14 décembre 2020 consid. 3.2).</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CR-CPP], 2e éd., Bâle 2019, n. 19 ad art. 398 CPP et les références citées).</w:t>
      </w:r>
    </w:p>
    <w:p>
      <w:r>
        <w:rPr>
          <w:b/>
        </w:rPr>
        <w:t>E. 3.1</w:t>
      </w:r>
    </w:p>
    <w:p>
      <w:r>
        <w:t>L’appelant invoque une constatation erronée des faits en ce sens que l’intimé G.________ n’aurait pas contesté en cours d’enquête que les signatures des enfants et de D.________ n’étaient pas les leurs, ayant uniquement traité avec F.________. De plus, D.________ aurait dit à plusieurs reprises à son époux de ne rien signer le soir en question. A cela s’ajoute que l’ensemble des éléments au dossier démontrerait que les parties plaignantes diraient la vérité quand elles affirmeraient n’avoir jamais voulu prendre le moindre engagement lors de l’entretien et n’avoir en aucun cas signé les résiliations d’assurance. En particulier, le Ministère public fait valoir que si F.________ avait réellement voulu résilier les assurances- maladie de sa femme et de ses enfants, il n’aurait jamais imité les signatures de ceux-ci mais aurait demandé à la première nommée de signer et aurait signé lui-même, en tant que représentant légal, pour ses enfants. 13J010</w:t>
      </w:r>
    </w:p>
    <w:p>
      <w:r>
        <w:t>- 15 - De plus, l’intimé aurait varié et menti en cours d’enquête au sujet des signatures, contrairement aux parties plaignantes. C’est donc leur version, laquelle est crédible, qui devait être retenue.</w:t>
      </w:r>
    </w:p>
    <w:p>
      <w:r>
        <w:rPr>
          <w:b/>
        </w:rPr>
        <w:t>E. 3.2.1</w:t>
      </w:r>
    </w:p>
    <w:p>
      <w:r>
        <w:t>La constatation des faits est incomplète au sens de l’art. 398 al.</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w:t>
      </w:r>
    </w:p>
    <w:p>
      <w:r>
        <w:rPr>
          <w:b/>
        </w:rPr>
        <w:t>E. 3.3</w:t>
      </w:r>
    </w:p>
    <w:p>
      <w:r>
        <w:t>Les signatures figurant sur les demandes de résiliation (cf. annexes de l’audition de F.________ du 9 octobre 2024 [PV aud. 1]) sont manifestement des faux et une simple comparaison avec les cartes d’identité et les procès-verbaux de F.________ et de D.________, tant lors de leur dépôt de plainte (PV aud. 1 et audition de D.________ du 9 octobre 2024 [PV aud. 2]) qu’à l’audience de jugement (cf. jgmt, p. 4 et 5), permet de s’en convaincre. La signature de D.________ ne comporte aucune barre, ni aucun point et celle de F.________ est bien plus compacte et se termine par un trait quasi vertical. Les signatures des enfants présentent également des différences notables, au niveau des lettres « […] », « […] » et « […] » pour M.________ et de la fin de la signature de N.________, sans point final également. De plus, on relèvera que l’intimé a tout d’abord affirmé, lors de sa première audition devant la police, que les enfants avaient signé eux- mêmes, avant de revenir sur sa déclaration, confronté par l’enquêteur au fait qu’il s’agissait de mineurs, en indiquant ne plus se souvenir si c’était eux ou leur père qui avait signé (cf. PV aud. 3, R. 7, p. 5). Lors de son audition devant le Ministère public, il a ensuite exclusivement affirmé que la signature des enfants avait été faite par leur père (cf. PV aud. 4, l. 91 et 114). Lors du jugement, il a déclaré : « Je pense que j’étais là lorsque les enfants ont signé. » (cf. jgmt, p. 8) et, aux débats d’appel, il a commencé 13J010</w:t>
      </w:r>
    </w:p>
    <w:p>
      <w:r>
        <w:t>- 18 - par dire : « (…) je considère que les signatures des plaignants et de leurs enfants, sont de vraies signatures. » avant d’indiquer de manière contradictoire : « Je ne pense pas que ce sont les enfants qui ont signé. » (cf. p. 3 supra). Or, un tel événement, qui porte sur un point essentiel de son intervention auprès des parties plaignantes, est parfaitement insolite et aurait dû marquer sa mémoire sans laisser subsister la moindre ambiguïté. En outre, à suivre l’une des versions que l’intimé propose, la signature de F.________ aurait dû au moins correspondre à la sienne s’il avait effectivement signé pour tous les membres de la famille, ce qui n’est manifestement pas le cas. Il résulte de ce qui précède que les déclarations contradictoires de l’intimé doivent être écartées au profit de celles constantes des parties plaignantes, qui affirment n’avoir jamais rien signé et que leurs signatures ont été falsifiées (cf. PV aud. 1 et 2). On relèvera au surplus qu’à réception des courriers de leurs assurances les informant de la résiliation de leurs contrats, ces dernières ont été complètement surprises et ont immédiatement réagi, ne comprenant pas comment une telle situation avait pu se produire, ce qui atteste également de leur bonne foi.</w:t>
      </w:r>
    </w:p>
    <w:p>
      <w:r>
        <w:rPr>
          <w:b/>
        </w:rPr>
        <w:t>E. 4.1</w:t>
      </w:r>
    </w:p>
    <w:p>
      <w:r>
        <w:t>Selon l’art. 251 ch. 1 CP (Code pénal suisse du 21 décembre 1937 ; RS 311.0),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13J010</w:t>
      </w:r>
    </w:p>
    <w:p>
      <w:r>
        <w:t>- 19 -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7B_213/2022 du 3 septembre 2025 consid. 4.1.2).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Par ailleurs, l'art. 251 CP exige un dessein spécial, à savoir que l'auteur agisse afin de porter atteinte aux intérêts pécuniaires ou aux droits d'autrui ou de se procurer ou de procurer à un tiers un avantage illicite (TF 7B_742/2023 du 27 juin 2025 consid. 3.2 et les arrêts cités).</w:t>
      </w:r>
    </w:p>
    <w:p>
      <w:r>
        <w:rPr>
          <w:b/>
        </w:rPr>
        <w:t>E. 4.2</w:t>
      </w:r>
    </w:p>
    <w:p>
      <w:r>
        <w:t>Dans la mesure où il est établi que les signatures des parties plaignantes et de leurs enfants sur les documents de résiliation sont fausses (cf. consid. 3.3.2 supra) et où l’intimé s’est retrouvé en possession de tous les documents nécessaires (copies des cartes d’identité et polices d’assurance-maladie) pour les imiter, il y a lieu de considérer que le document litigieux est un faux matériel réalisé par l’intimé. En effet, ce dernier a expliqué que son travail consistait à rencontrer des clients potentiels et à faire un bilan de leurs assurances-maladie avec eux pour ensuite les convaincre de souscrire auprès de J.________. Il a précisé qu’il était rémunéré par commissions obtenues en fonction des contrats d’assurances complémentaires conclus et que c’était la raison pour laquelle il proposait ces produits (cf. PV aud. 3, R. 5, p. 3). L’intimé a donc établi le faux document dans l’intention de s’enrichir au préjudice des parties 13J010</w:t>
      </w:r>
    </w:p>
    <w:p>
      <w:r>
        <w:t>- 20 - plaignantes et des assurances concernées. Les conditions objectives et subjectives de l’art. 251 CP sont donc réunies. L’appel du Ministère public doit donc être admis sur ce point et l’intimé reconnu coupable de faux dans les titres.</w:t>
      </w:r>
    </w:p>
    <w:p>
      <w:r>
        <w:rPr>
          <w:b/>
        </w:rPr>
        <w:t>E. 5.1.1</w:t>
      </w:r>
    </w:p>
    <w:p>
      <w:r>
        <w:t>Selon l’art. 146 al. 1 CP,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suppose ainsi, sur le plan objectif, une tromperie astucieuse, une erreur, un acte de disposition préjudiciable, un dommage, ainsi qu'un rapport de causalité entre ces différents éléments.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Pour qu'il y ait escroquerie, une simple tromperie ne suffit cependant pas. Il faut encore qu'elle soit astucieuse. Il y a tromperie astucieuse, au sens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 ATF 142 IV 153 consid. 2.2.2 ; TF 7B_988/2025 du 18 décembre 2025 consid. 4.3.2.1). L'astuce n'est pas réalisée si la dupe pouvait se protéger avec un minimum d'attention ou éviter l'erreur avec le minimum de prudence que l'on pouvait 13J010</w:t>
      </w:r>
    </w:p>
    <w:p>
      <w:r>
        <w:t>- 21 -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7B_988/2025 précité).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7B_988/2025 précité ; TF 6B_1324/2023 du 3 juin 2024 consid. 2.1.2), cette dernière condition découlant du principe de l'équivalence. Ce principe exige simplement que l'auteur vise l'obtention, pour lui-même ou un tiers, d'un enrichissement qui soit le pendant de l'appauvrissement de la victime et qu'appauvrissement et enrichissement procèdent de la même décision (TF 7B_988/2025 précité et les arrêts cités).</w:t>
      </w:r>
    </w:p>
    <w:p>
      <w:r>
        <w:rPr>
          <w:b/>
        </w:rPr>
        <w:t>E. 5.1.2</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5.2</w:t>
      </w:r>
    </w:p>
    <w:p>
      <w:r>
        <w:t>En l’espèce, en imitant la signature des parties plaignantes et de leurs enfants, l’intimé n’a pas seulement commis un faux dans les titres permettant la résiliation de leurs assurances, comme on l’a vu au considérant 4 ci-dessus, mais il a également caché aux premiers nommés qu’il avait contracté de nouvelles assurances en leur nom et ceux de leurs enfants. Or, il les avait confortés dans l’idée qu’ils n’avaient affaire qu’à de simples propositions d’assurance sans engagement ferme. En effet, les SMS adressés à F.________, le soir en question, transmettaient un lien ainsi que l’indication suivante : « Veuillez confirmer et retourner vos documents de 13J010</w:t>
      </w:r>
    </w:p>
    <w:p>
      <w:r>
        <w:t>- 22 - proposition » (cf. annexes PV aud. 1). En cliquant sur celui-ci, F.________ a reçu des propositions d’assurance par courriel et il n’est pas établi que ce dernier ait reçu un appel du supérieur de l’intimé permettant de valider ces dernières. Ainsi, le terme de « proposition » systématiquement utilisé ne saurait être interprété comme valant confirmation de la conclusion d’un nouveau contrat d’assurance. Il y a donc tromperie. La complexité des démarches à accomplir, la dissimulation d’informations essentielles et le timing utilisé par l’intimé pour envoyer les faux documents de résiliation à l’assurance, soit peu de temps avant la date butoir alors que le rendez-vous client avait eu lieu plusieurs mois auparavant, ne permettaient pas aux parties plaignantes de se prémunir contre les agissements de l’intimé. Un tel comportement est astucieux. S’il est difficile de dire si les actes de celui- ci ont porté atteinte aux intérêts pécuniaires des parties plaignantes, faute de pouvoir comparer dans le temps les prestations offertes par les assurances concernées et leurs primes, on peut en revanche affirmer que les intérêts pécuniaires des deux compagnies d’assurance, auprès de qui les parties plaignantes et leurs enfants étaient assurés avant l’intervention de l’intimé, ont été concrètement mis en péril par la résiliation des contrats en question. Dès lors que le but recherché par l’intimé était uniquement de pouvoir toucher les commissions liées à la conclusion de nouveaux contrats chez J.________, les conditions objectives et subjectives de l’infraction d’escroquerie sont réalisées. Dans la mesure où les parties plaignantes ont toutefois pu obtenir l’annulation des contrats conclus frauduleusement, l’infraction en est restée au stade de la tentative. L’appel du Ministère public doit ainsi être admis sur ce point et l’intimé reconnu coupable de tentative d’escroquerie.</w:t>
      </w:r>
    </w:p>
    <w:p>
      <w:r>
        <w:rPr>
          <w:b/>
        </w:rPr>
        <w:t>E. 6.1</w:t>
      </w:r>
    </w:p>
    <w:p>
      <w:r>
        <w:t>L’appelant estime qu’une peine pécuniaire de 90 jours-amende, à 80 fr. le jour, avec sursis pendant 2 ans, et une amende de 1'800 fr., convertible en une peine privative de liberté de substitution de 22 jours en 13J010</w:t>
      </w:r>
    </w:p>
    <w:p>
      <w:r>
        <w:t>- 23 - cas de non-paiement fautif dans le délai imparti, constitueraient une sanction adéquate.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13J010</w:t>
      </w:r>
    </w:p>
    <w:p>
      <w:r>
        <w:t>- 24 -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6B_309/2025 du 15 octobre 2025 consid. 2.2).</w:t>
      </w:r>
    </w:p>
    <w:p>
      <w:r>
        <w:rPr>
          <w:b/>
        </w:rPr>
        <w:t>E. 6.2.3</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Petit commentaire du Code pénal, 2e éd., Bâle 2017, n. 1 in fine ad art. 41 CP). La condition de l'art. 41 al. 1 let. b CP reflète la subsidiarité de la peine privative de liberté (Dupuis et al.,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 TF 6B_733/2024 du 8 octobre 2025 consid. 2.1.2). La faute de l’auteur n’est en revanche pas déterminante (ATF 144 IV 313 consid. 1.1.1 ; TF 6B_1172/2023 du 15 août 2024 consid. 3.1.2). 13J010</w:t>
      </w:r>
    </w:p>
    <w:p>
      <w:r>
        <w:t>- 25 - Conformément à l'art. 41 al. 2 CP, lorsque le juge choisit de prononcer à la place d'une peine pécuniaire une peine privative de liberté, il doit motiver le choix de cette dernière peine de manière circonstanciée.</w:t>
      </w:r>
    </w:p>
    <w:p>
      <w:r>
        <w:rPr>
          <w:b/>
        </w:rPr>
        <w:t>E. 6.2.4</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6B_295/2025 du 2 septembre 2025 consid. 4.1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6.2.5</w:t>
      </w:r>
    </w:p>
    <w:p>
      <w:r>
        <w:t>Le juge peut prononcer, en plus d’une peine avec sursis, une amende conformément à l’art. 106 CP (art. 42 al. 4 CP). 13J010</w:t>
      </w:r>
    </w:p>
    <w:p>
      <w:r>
        <w:t>- 26 -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ATF 134 IV 60 consid. 7.3.1 ; TF 6B_1267/2022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w:t>
      </w:r>
    </w:p>
    <w:p>
      <w:r>
        <w:rPr>
          <w:b/>
        </w:rPr>
        <w:t>E. 6.2.6</w:t>
      </w:r>
    </w:p>
    <w:p>
      <w:r>
        <w:t>Selon l’art. 44 al. 1 CP, si le juge suspend totalement ou partiellement l’exécution d’une peine, il impartit au condamné un délai d’épreuve de deux à cinq ans.</w:t>
      </w:r>
    </w:p>
    <w:p>
      <w:r>
        <w:rPr>
          <w:b/>
        </w:rPr>
        <w:t>E. 6.3</w:t>
      </w:r>
    </w:p>
    <w:p>
      <w:r>
        <w:t>En l’espèce, la culpabilité de l’intimé n’est pas négligeable. Il a profité de la confiance que les parties plaignantes lui ont accordée pour les tromper et s’enrichir à leur dépens. Le fait d’avoir agi au préjudice de mineurs rend ses actes d’autant plus répréhensibles. Il a par ailleurs agi par cupidité. La Cour de céans ne voit aucun élément à décharge, l’absence d’antécédents ayant, de jurisprudence constante, un effet neutre sur la peine (ATF 141 IV 61 consid. 6.3.2). Tant une peine pécuniaire qu’une peine privative de liberté peut entrer en ligne de compte pour sanctionner le comportement illicite de 13J010</w:t>
      </w:r>
    </w:p>
    <w:p>
      <w:r>
        <w:t>- 27 - l’intimé. Cela étant, compte tenu du niveau de sa culpabilité et de l’ampleur limitée des actes perpétrés, c’est une peine pécuniaire qui peut encore entrer en considération pour chacune des infractions commises. L’infraction de base est la tentative d’escroquerie, laquelle concerne quatre contrats d’assurance. Elle doit être sanctionnée d’une peine pécuniaire de 60 jours-amende. Cette peine sera augmentée, par l’effet du concours (art. 49 al. 1 CP), d’une peine pécuniaire de 30 jours- amende (peine théorique hors concours de 45 jours-amende) pour l’infraction de faux dans les titres. L’intimé doit ainsi être condamné à une peine pécuniaire d’ensemble de 90 jours-amende, telle que proposée par le Parquet. Le montant du jour-amende sera arrêté à 30 fr., pour tenir compte de la situation financière relativement modeste de l’intimé, lequel semble encore dépendre financièrement de ses parents. La peine pécuniaire infligée pourra être assortie du sursis. En effet, l’intimé n’est plus courtier en assurances et l’on peut encore considérer que le risque de devoir subir la sanction prononcée suffira à le préserver de la récidive. Le délai d’épreuve sera fixé au minimum légal de 2 ans compte tenu de l’absence d’antécédents à son casier judiciaire. En outre, il sera renoncé au prononcé d’une amende à titre de sanction immédiate, telle que suggérée par le Ministère public, laquelle n’apparait pas nécessaire vis-à-vis d’un délinquant primaire.</w:t>
      </w:r>
    </w:p>
    <w:p>
      <w:r>
        <w:rPr>
          <w:b/>
        </w:rPr>
        <w:t>E. 7</w:t>
      </w:r>
    </w:p>
    <w:p>
      <w:r>
        <w:t>Au vu de ce qui précède, l’appel du Ministère public doit être partiellement admis et le jugement entrepris réformé dans le sens des considérants. Le défenseur d’office de G.________ a produit en audience une liste d’opérations dont il n’y a pas lieu de s’écarter, si ce n’est pour ajouter le temps consacré à l’audience d’appel. C’est ainsi une indemnité de 1'790 fr. 30 qui sera allouée à Me Raphaël Tatti pour la procédure d’appel, correspondant à huit heures et 22 minutes d’activité d’avocat au tarif horaire de 180 fr., à 30 fr. 12 de débours au taux forfaitaire de 2 % (cf. art. 3bis al. 1 RAJ [règlement sur l’assistance judiciaire en matière civile du 7 13J010</w:t>
      </w:r>
    </w:p>
    <w:p>
      <w:r>
        <w:t>- 28 - décembre 2010; BLV 211.02.3], applicable par renvoi de l’art. 26b TFIP [tarif des frais de procédure et indemnités en matière pénale du 28 septembre 2010 ; BLV 312.03.1]). –, à 120 fr. de vacation et à 134 fr. 26 de TVA. Vu l’issue de la cause, les frais de la procédure d’appel, par 4'250 fr. 30 constitués des émoluments de jugement et d’audience, par 2’460 fr. (art. 21 al. 1 et 2 TFIP) ainsi que de l’indemnité précitée, sont mis à la charge de G.________, qui succombe (art. 428 al. 1 CPP). G.________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