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PE24.026235 vom 3. April 2025</w:t>
      </w:r>
    </w:p>
    <w:p>
      <w:r>
        <w:t>VD Tribunal cantonal, 2025-04-03, FR</w:t>
      </w:r>
    </w:p>
    <w:p>
      <w:r>
        <w:rPr>
          <w:b/>
        </w:rPr>
        <w:t xml:space="preserve">Quelle: </w:t>
      </w:r>
      <w:r>
        <w:t>https://mcp.opencaselaw.ch/entscheid/vd_gerichte_PE24.026235</w:t>
      </w:r>
    </w:p>
    <w:p>
      <w:r>
        <w:t>FR: VD_GERICHTE PE24.026235 du 3 avril 2025</w:t>
      </w:r>
    </w:p>
    <w:p>
      <w:r>
        <w:t>IT: VD_GERICHTE PE24.026235 del 3 aprile 2025</w:t>
      </w:r>
    </w:p>
    <w:p>
      <w:pPr>
        <w:pStyle w:val="Heading2"/>
      </w:pPr>
      <w:r>
        <w:t>Erwägungen</w:t>
      </w:r>
    </w:p>
    <w:p>
      <w:r>
        <w:rPr>
          <w:b/>
        </w:rPr>
        <w:t>E. 1</w:t>
      </w:r>
    </w:p>
    <w:p>
      <w:r>
        <w:t>Le Ministère public a ouvert une enquête préliminaire contre W.________, soupçonné de s’être rendu coupable de vol, voire vol par métier, vol d’importance mineure et contravention à la loi fédérale sur les stupéfiants. 353</w:t>
      </w:r>
    </w:p>
    <w:p>
      <w:r>
        <w:t>- 2 -</w:t>
      </w:r>
    </w:p>
    <w:p>
      <w:r>
        <w:rPr>
          <w:b/>
        </w:rPr>
        <w:t>E. 2</w:t>
      </w:r>
    </w:p>
    <w:p>
      <w:r>
        <w:t>Par ordonnance du 8 décembre 2024, le Tribunal des mesures de contrainte a ordonné la détention provisoire de W.________ pour une durée de deux mois, soit au plus tard jusqu’au 3 février 2025.</w:t>
      </w:r>
    </w:p>
    <w:p>
      <w:r>
        <w:rPr>
          <w:b/>
        </w:rPr>
        <w:t>E. 3</w:t>
      </w:r>
    </w:p>
    <w:p>
      <w:r>
        <w:t>Par ordonnance du 31 janvier 2025, le Tribunal des mesures de contrainte a ordonné la prolongation de la détention provisoire de W.________ pour une durée de deux mois, soit jusqu’au 2 avril 2025.</w:t>
      </w:r>
    </w:p>
    <w:p>
      <w:r>
        <w:rPr>
          <w:b/>
        </w:rPr>
        <w:t>E. 4</w:t>
      </w:r>
    </w:p>
    <w:p>
      <w:r>
        <w:t>Par acte du 13 février 2025, W.________, par son défenseur d’office, a recouru contre cette dernière ordonnance en concluant à son annulation et à sa libération immédiate, subsidiairement au bénéfice de mesures de substitution.</w:t>
      </w:r>
    </w:p>
    <w:p>
      <w:r>
        <w:rPr>
          <w:b/>
        </w:rPr>
        <w:t>E. 5</w:t>
      </w:r>
    </w:p>
    <w:p>
      <w:r>
        <w:t>Par ordonnance du 27 février 2025, le Tribunal des mesures de contrainte a notamment constaté que les conditions de la détention provisoire de W.________ demeuraient réalisées, a ordonné des mesures de substitution en lieu et place de la détention provisoire, a dit que le prévenu serait libéré à compter du jour où un certain nombre de documents auraient été déposés et a maintenu la détention provisoire dans l’intervalle.</w:t>
      </w:r>
    </w:p>
    <w:p>
      <w:r>
        <w:rPr>
          <w:b/>
        </w:rPr>
        <w:t>E. 6</w:t>
      </w:r>
    </w:p>
    <w:p>
      <w:r>
        <w:t>Le 7 mars 2025, le défenseur d’office de W.________ a requis une suspension de la procédure de recours durant un délai maximal de deux semaines afin qu’il puisse se déterminer sur la suite à donner à son recours. Le 11 mars 2025, la direction de la procédure a accordé une prolongation de délai au 25 mars 2025. Le 28 mars 2025, W.________ a été libéré au profit de mesures de substitution.</w:t>
      </w:r>
    </w:p>
    <w:p>
      <w:r>
        <w:t>- 3 - Par avis du même jour, la direction de la procédure a indiqué au défenseur d’office de W.________ qu’il semblait que le recours n’avait définitivement plus d’objet et que, sauf avis contraire, la cause serait rayée du rôle et les frais et indemnités laissés à la charge de l’Etat. Aucune suite n’a été donnée à cet avis.</w:t>
      </w:r>
    </w:p>
    <w:p>
      <w:r>
        <w:rPr>
          <w:b/>
        </w:rPr>
        <w:t>E. 7</w:t>
      </w:r>
    </w:p>
    <w:p>
      <w:r>
        <w:t>Compte tenu de ce qui précède, il y a lieu de prendre acte du retrait du recours et de rayer la cause du rôle (art. 386 al. 2 let. b CPP [Code de procédure pénale suisse du 5 octobre 2007 ; RS 312.0]).</w:t>
      </w:r>
    </w:p>
    <w:p>
      <w:r>
        <w:rPr>
          <w:b/>
        </w:rPr>
        <w:t>E. 8</w:t>
      </w:r>
    </w:p>
    <w:p>
      <w:r>
        <w:t>Me Robert Ayrton a déposé une note d’honoraires portant sur son activité du 12 au 13 février 2025, pour un total de 6 heures et 10 minutes, dont 5 heures consacrées à la rédaction du recours, ce qui est excessif au regard de l’acte déposé et de la complexité de l’objet du litige, pour un avocat expérimenté. L’indemnité sera ainsi fixée à 750 fr., correspondant à 4 heures et 10 minutes au tarif horaire de 180 fr., montant auquel il convient d’ajouter des débours forfaitaires à concurrence de 2 % – et non de 5%, s’agissant de la procédure de recours – des honoraires admis (art. 3bis al. 1 RAJ [règlement du 7 décembre 2010 sur l'assistance judiciaire en matière civile ; BLV 211.02.3], applicable par renvoi de l’art. 26b TFIP, par 15 fr., plus la TVA au taux de 8,1 %, par 52 fr., soit à 827 fr. au total en chiffres arrondis. Les frais de procédure, constitués de l’émolument d’arrêt, par 330 fr. (art. 20 al. 1 TFIP [tarif des frais de procédure et indemnités en matière pénale du 28 septembre 2010 ; BLV 312.03.1], par renvoi de l’art. 22 TFIP), et de l’indemnité précitée, seront exceptionnellement laissés à la charge de l’Etat dès lors que le recours est devenu sans objet en raison d’un changement de circonstances qui ne sont pas imputables au recourant (TF</w:t>
      </w:r>
    </w:p>
    <w:p>
      <w:r>
        <w:t>- 4 - 1B_308/2021 du 5 juillet 2021 consid. 3 ; TF 1B_123/2021 du 27 avril 2021 consid. 7.2). Par ces motifs, la Chambre des recours pénale prononce : I. Le recours est sans objet. II. La cause est rayée du rôle. III. Une indemnité de 827 fr. (huit cent vingt-sept francs) est allouée à Me Robert Ayrton, à la charge de l’Etat. IV. Les frais d’arrêt, par 330 fr. (trois cent trente francs), sont laissés à la charge de l’Etat. V. L’arrêt est exécutoire. Le président : Le greffier : Du Le présent arrêt, dont la rédaction a été approuvée à huis clos, est notifié, par l'envoi d'une copie complète, à : - Me Robert Ayrton, avocat (pour W.________), - Ministère public central,</w:t>
      </w:r>
    </w:p>
    <w:p>
      <w:r>
        <w:t>- 5 - et communiqué à : - M. le Président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