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PE24.026055 vom 20. April 2026</w:t>
      </w:r>
    </w:p>
    <w:p>
      <w:r>
        <w:t>VD Tribunal cantonal, 2026-04-20, FR</w:t>
      </w:r>
    </w:p>
    <w:p>
      <w:r>
        <w:rPr>
          <w:b/>
        </w:rPr>
        <w:t xml:space="preserve">Quelle: </w:t>
      </w:r>
      <w:r>
        <w:t>https://mcp.opencaselaw.ch/entscheid/vd_gerichte_PE24.026055</w:t>
      </w:r>
    </w:p>
    <w:p>
      <w:r>
        <w:t>FR: VD_GERICHTE PE24.026055 du 20 avril 2026</w:t>
      </w:r>
    </w:p>
    <w:p>
      <w:r>
        <w:t>IT: VD_GERICHTE PE24.026055 del 20 aprile 2026</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l’ordonnance attaquée étant réputée parvenue au mandataire du plaignant le jeudi 2 octobre 2025, et dans les formes prescrites (art. 385 al. 1 CPP) devant l’autorité compétente par la partie plaignante qui a qualité pour recourir (art. 382 al. 1 CPP), le recours est recevable. Les pièces nouvelles produites à l’appui du recours sont également recevables (art. 389 al. 3 CPP).</w:t>
      </w:r>
    </w:p>
    <w:p>
      <w:r>
        <w:rPr>
          <w:b/>
        </w:rPr>
        <w:t>E. 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12J010</w:t>
      </w:r>
    </w:p>
    <w:p>
      <w:r>
        <w:t>- 7 -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12J010</w:t>
      </w:r>
    </w:p>
    <w:p>
      <w:r>
        <w:t>- 8 -</w:t>
      </w:r>
    </w:p>
    <w:p>
      <w:r>
        <w:rPr>
          <w:b/>
        </w:rPr>
        <w:t>E. 3</w:t>
      </w:r>
    </w:p>
    <w:p>
      <w:r>
        <w:t>Le recourant considère qu'une instruction doit être menée pour entendre E.________ afin de clarifier sa relation avec le défunt et préciser les diverses donations qu'il a reçues, ainsi que la capacité de discernement et de décision du donateur. Toujours selon le recourant, l'instruction devrait aussi porter sur les retraits ou les paiements effectués sur les comptes bancaires, tant avant que depuis que E.________ avait disposé des cartes et des codes, jusqu'à ce qu'il les remette à N.________. Le recourant est d'avis que les auditions menées le 6 août, ainsi que les 1er et 8 septembre 2025 susciteraient des suspicions et ne permettraient pas de se convaincre de la pleine capacité de discernement, ni de la liberté de décision du défunt. Selon lui, les personnes entendues se seraient exprimées de manière coordonnée, suscitant des doutes quant à la fiabilité de leurs propos. Le recourant leur reproche d’avoir omis de l'informer de l'hospitalisation, de l'agonie et des funérailles de son père, d’une part, et de ne pas lui avoir transmis aussitôt les effets personnels du défunt, d’autre part. D’une manière plus générale, le recourant relativise sa rupture d'avec son père, sans toutefois expliquer pourquoi celui-ci ne l'avait pas contacté ou fait contacter lorsqu'il se savait mourant à l'hôpital et que son cercle d'amis proches l'entourait. 12J010</w:t>
      </w:r>
    </w:p>
    <w:p>
      <w:r>
        <w:t>- 9 -</w:t>
      </w:r>
    </w:p>
    <w:p>
      <w:r>
        <w:rPr>
          <w:b/>
        </w:rPr>
        <w:t>E. 3.1</w:t>
      </w:r>
    </w:p>
    <w:p>
      <w:r>
        <w:t>et 3.2 et les références citées). Du point de vue subjectif, l'infraction est intentionnelle. Le dol éventuel suffit (ATF 130 IV 106 consid. 7.2). L'intention doit porter sur la disproportion évidente entre la prestation et la contre-prestation ainsi que sur la situation de faiblesse de la victime (TF 6B_794/2021 du 21 mars 2022 12J010</w:t>
      </w:r>
    </w:p>
    <w:p>
      <w:r>
        <w:t>- 11 - consid. 5.3 ; TF 6B_649/2020 du 2 octobre 2020 consid. 2. 1 ; TF 6B 430/2020 du 26 août 2020 consid. 2. 1). Parmi les situations de faiblesse visées par l'art. 157 CP, l'état de gêne s'entend de tout état de contrainte qui influe si fort sur la liberté de décision de la personne lésée qu'elle est prête à fournir une prestation disproportionnée (ATF 92 IV 132 consid. 2 ; cf. aussi pour l'exigence d'une contre-partie, ATF 142 IV 341 consid. 2; TF 6B_794/2021 précité consid. 5.3 ; TF 6B_301/2020 du 28 avril 2020 consid. 1.1.1). Il ne s'agit pas nécessairement d'une gêne financière et elle peut être seulement passagère. Il faut procéder à une appréciation objective de l'état de gêne (TF 6B_794/2021 précité consid. 5.3). Le consentement de la victime n'exclut pas l'application de l'art. 157 CP. Il en est au contraire un élément (ATF 82 lV 145 consid. 2b). La jurisprudence a notamment admis la gêne dans le cas d'une personne se trouvant dans le besoin extrême de trouver un toit pour se loger, par exemple en cas de pénurie de logements (cf. ATF 93 IV 85 consid. 5 ; ATF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(TF 6B_296/2024 du 7 avril 2025 consid. 3.1 et 3.2). L'art. 157 CP suppose que l'auteur obtienne l'avantage patrimonial « en échange d'une prestation ». L'usure ne peut donc intervenir que dans le cadre d'un contrat onéreux (ATF 130 IV 106 consid. 7.2 ; ATF 111 IV 139 consid. 3c).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plus récemment : TF 6B_296/2024 du 7 avril 2025 consid. 3. 1 et 3.2 ; TF 6B_430/2020 précité consid. 2. 3.1 ; TF 6B_301/2020 du 28 avril 2020 consid. 1.1.4). 12J010</w:t>
      </w:r>
    </w:p>
    <w:p>
      <w:r>
        <w:t>- 12 -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 TF 6B_996/2021 précité consid. 3.3). Dans la doctrine, une limite de l'ordre de 20 % est évoquée pour les domaines réglementés ; pour les autres domaines, il y a usure, dans tous les cas, dès 35 % (TF 6B_996/2021 précité consid. 3.3 ; TF 6B 918/2018 du 24 avril 2019 consid. 2.4.3 ; d'un autre avis : Cassani, Liberté contractuelle et protection pénale de la partie faible : l'usure, une infraction en quête de sens, in :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(cf. ATF 130 IV 106 consid. 7.2 ; ATF 93 IV 85 consid. 2 ; TF 6B_996/2021 précité consid. 3.3). La jurisprudence admet que dans le domaine des prestations de travail, il se peut que des actes de complaisance soient accomplis, desquels ne découle aucun lien contractuel.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137 III 53 consid. 4.1, JdT 2013 II 274 ; ATF 129 III 181 consid. 3.2, JdT 2003 I 238 ; ATF 116 II 695 consid. 2b/bb, JdT 1991 I 627). 12J010</w:t>
      </w:r>
    </w:p>
    <w:p>
      <w:r>
        <w:t>- 13 - L'acte de complaisance, au contraire du contrat, est accompli à titre gratuit, de manière désintéressée et de manière occasionnelle, sans qu'il existe une obligation juridique de fournir une prestation. Comme exemple typique d'acte de complaisance dans la vie de tous les jours est citée la garde d'enfants entre amis pour une durée limitée de deux heures ATF 137 III 539 consid. 4.1, JdT 2013 II 274 et références citées ; TF 6B_296/2024 du 7 avril 2025 consid. 3.2). Selon la doctrine, la gêne, signifiant situation de détresse plaçant le lésé en état d'infériorité et restreignant sa liberté de décision, n'est pas seulement de nature économique et peut s'entendre d'une situation de danger pour sa vie ou sa santé (Mazou, in : Commentaire romand, Code pénal II, op. cit., n° 7 et 8 ad art. 157 CP). La dépendance, également pas nécessairement économique, est une notion proche de la gêne qui suppose un rapport de soumission limitant la liberté du lésé. Elle a été retenue par la jurisprudence dans le cas d'un vieil homme diminué et influençable à l'égard d'une amie à laquelle il était attaché (Mazou, op. cit. n° 13 et 16 ad art. 157 CP). Enfin, la faiblesse de la capacité de jugement s'entend de la situation d'une personne qui est diminuée dans la faculté d'analyser la situation, d'apprécier la portée de ce qu'elle fait, de former sa volonté et de s'y tenir à cause de la maladie, de l'âge ou d'autre cause semblable (Mazou, op. cit, n° 24 ad art. 157 CP).</w:t>
      </w:r>
    </w:p>
    <w:p>
      <w:r>
        <w:rPr>
          <w:b/>
        </w:rPr>
        <w:t>E. 4.1</w:t>
      </w:r>
    </w:p>
    <w:p>
      <w:r>
        <w:t>Effets personnels du défunt Les effets personnels inventoriés du défunt ont été restitués, sous la réserve de 70 fr. en espèces, somme qu'il a pu consommer comme argent de poche durant son séjour hospitalier, et d'une paire de lunettes médicales qui a pu être égarée. Il n'y a dès lors aucun indice d'appropriation illégitime (art. 137 CP), d'appropriation d'une chose confiée, soit d'abus de confiance (art. 138 CP), ni de soustraction d'une chose mobilière, soit de vol (art. 139 CP). Partant, le refus d'entrée en matière sur ces faits concernant E.________ et D.________ doit être confirmé. Au demeurant, le recourant n’aborde pas cette question dans son écriture, si bien qu'il ne conteste pas l'ordonnance sur ce point.</w:t>
      </w:r>
    </w:p>
    <w:p>
      <w:r>
        <w:rPr>
          <w:b/>
        </w:rPr>
        <w:t>E. 4.2</w:t>
      </w:r>
    </w:p>
    <w:p>
      <w:r>
        <w:t>Fausse filiation Selon le CHUV, E.________, usant de sa véritable identité, s'est fait passer pour le fils de C.________ lorsqu'il s'était présenté à l'hôpital le 1er juillet 2024, respectivement n'a pas dissipé l'erreur du personnel soignant quant à ce prétendu lien de filiation, confirmé par le patient (P. 5/2, p. 2). Informé de ces faits par lettre de l’Unité des affaires juridiques du CHUV à son avocat du 30 septembre 2024, B.________ a déposé plainte par courrier du 2 décembre 2024, soit dans le délai légal de trois mois (art. 31 CP). L'identité dont l'usurpation est pénalement protégée par l'art. 179decies CP peut être déterminée au moyen de différents éléments, par exemple le statut familial (Métille, in : Commentaire romand, Code pénal II, 2e éd., Bâle 2025, n° 11 ad art. 179decies CP). Toutefois, l'auteur doit être animé par le dessein spécial de nuire à la personne dont l'identité est empruntée ou de se procurer ou procurer à un tiers un avantage illicite. Dans le cas particulier on ne discerne pas sur quoi aurait porté l'intention de nuire de E.________, ni quel serait l'avantage illicite patrimonial, matériel ou immatériel qu’il aurait visé (cf. Métille op. cit., n° 26 ad art. 179decies CP). Singulièrement, il ne s'agissait pas de faciliter 12J010</w:t>
      </w:r>
    </w:p>
    <w:p>
      <w:r>
        <w:t>- 10 - l'accès au patient, puisque toutes les personnes se présentant comme des amis de ce dernier ont pu se rendre à son chevet. Il est possible que les intéressés aient voulu exprimer leur attachement par l'affirmation d'un lien de filiation spirituel (par opposition au lien de filiation adoptif avec le plaignant présenté comme ruiné). Faute d'existence de tout dessein dolosif spécial, la non-entrée en matière sur cette usurpation de filiation, qui n’est au demeurant pas expressément traitée dans l'ordonnance, ni dans le recours, doit être tenue pour conforme à l’art. 310 al. 1 let. a CPP et, partant, confirmée.</w:t>
      </w:r>
    </w:p>
    <w:p>
      <w:r>
        <w:rPr>
          <w:b/>
        </w:rPr>
        <w:t>E. 4.3</w:t>
      </w:r>
    </w:p>
    <w:p>
      <w:r>
        <w:t>Usure</w:t>
      </w:r>
    </w:p>
    <w:p>
      <w:r>
        <w:rPr>
          <w:b/>
        </w:rPr>
        <w:t>E. 4.3.1</w:t>
      </w:r>
    </w:p>
    <w:p>
      <w:r>
        <w:t>Selon l'art. 157 ch. 1 CP, dans sa teneur au 30 juin 2023,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 Cette infraction suppose la réalisation des éléments constitutifs objectifs suivants : une situation de faiblesse de la victime, l'exploitation de cette situation de faiblesse, en échange d'une contre-prestation, une disproportion évidente entre l'avantage pécuniaire et la contre-prestation, ainsi que l'existence d'un rapport de causalité entre la situation de faiblesse et la disproportion des prestations (TF 6B_296/2024 du 7 avril 2025 consid.</w:t>
      </w:r>
    </w:p>
    <w:p>
      <w:r>
        <w:rPr>
          <w:b/>
        </w:rPr>
        <w:t>E. 4.3.2</w:t>
      </w:r>
    </w:p>
    <w:p>
      <w:r>
        <w:t>Dans le cas particulier, il est manifeste que E.________, respectivement aussi des tiers désignés par lui, ont reçu d'importants montants de la part de C.________ à partir de 2021, à tout le moins. Le patrimoine du donateur a symétriquement diminué jusqu'à disparaître à son décès, ces transferts d'argent ayant mis à néant la réserve héréditaire de son fils (50 %). C.________ et E.________ ont vécu sous le même toit durant une première période d'avril à septembre 2021 dans la famille de ce dernier en R***, ainsi que, au moins épisodiquement, durant une seconde période allant de la location de l'appartement de V*** en avril 2023 (E.________ apparaissant sur le bail comme occupant ce logement [cf. PV aud. 3, p. 3]) à l'hospitalisation au CHUV en juin 2024 (PV aud. 1, p. 4). On ignore toutefois quels étaient leurs arrangements économiques. E.________ était sans 12J010</w:t>
      </w:r>
    </w:p>
    <w:p>
      <w:r>
        <w:t>- 14 - activité lucrative (PV aud. 1, pp. 4 et 5), mais « gérait la logistique » du défunt lorsqu'il se trouvait en Suisse et « s'occupait de ses affaires » (PV aud. 3, p. 3). De même, on ne sait rien de la nature précise des services que E.________ a rendus à C.________, qui avait besoin d'aide pour affronter sa vie quotidienne (proche aidant, soignant, aide de ménage, commissionnaire, chauffeur, accompagnant aux rendez-vous médicaux, secrétaire/gestionnaire, etc.). On ignore également s'ils formaient un couple, étant précisé à cet égard que E.________ était marié et père de famille. L'homosexualité connue du père du recourant et la cohabitation constituent des indices allant dans ce sens. Un autre indice est le fait que le défunt ait présenté E.________ comme un « ami d'enfance s'occupant de lui durant [s]a maladie » dans la formule de changement de bénéficiaire complétée à destination de la F.________ le 1er mars 2023 (P. 20/4, p. 3), alors que le fait que l'un des intéressés soit né en *** et l'autre en 1982, soit 23 ans d'écart, exclut qu’ils aient été « ami[s] d'enfance ». L'état du dossier ne permet donc pas d'établir avec certitude si les montants attribués à E.________ relevaient de complaisances ou de rémunérations dans des rapports contractuels de travail ou de service, ni s'il s'agissait de pures donations, donc d’actes dépourvus de toutes contreprestations ; tel est en particulier le cas de la somme de 40'000 fr. versée aux époux K.________ et de l'animus donandi qui ressort de la lettre du 15 mai 2023 à l’autorité fiscale (P. 20/5). S'agissant de l'état de faiblesse de l'appauvri, le dossier permet d'exclure une incapacité de discernement. En effet, l’Unité des affaires juridiques du CHUV a indiqué sans réserve, dans sa lettre du 30 septembre 2024, que C.________ était « conscient et lucide » le 1er juillet 2024 (P. 5/2, p. 2). Cet état a été confirmé par les auditions des personnes qui avaient entouré le défunt à l’occasion de ses derniers jours. De plus, la consultation du dossier médical du patient a été proposée au recourant (P. 5/2, p. 1) et celui-ci, s'il a fait usage de cette faculté, ne tire aucun argument de ce dossier à l’appui de la vulnérabilité psychique qu'aurait, selon lui, présentée feu son père. Enfin, la teneur de la lettre adressée à l’autorité fiscale le 15 mai 2023, rédigée par un homme éduqué, comme l’aurait par exemple été 12J010</w:t>
      </w:r>
    </w:p>
    <w:p>
      <w:r>
        <w:t>- 15 - un employé consulaire, et non par un homme dépourvu d’expérience professionnelle de rédaction comme E.________, atteste d'une capacité de discernement préservée (P. 20/5). Cela étant, l'exploitation d'une situation de faiblesse sous la forme d'une gêne ou d'une dépendance, le cas échéant affective, pourrait reposer sur l'état psychologique désespéré et vulnérable d'un malade incurable confronté à la perspective de son proche et inéluctable décès, assistant à la destruction de son corps, ayant rompu toute relation avec son fils, ne pouvant compter sur un autre support familial et éprouvant un besoin impérieux de réconfort et de chaleur humaine. Le déménagement en R*** de l’intéressé, sa conversion à l'Islam (le père de E.________ serait imam), ses dons effectués par l'intermédiaire d'une mosquée (P. 20/5) et ses funérailles musulmanes vont dans le sens d'une influence certaine de E.________ sur C.________. La non-entrée en matière prononcée procède donc d’une fausse application de l’art. 310 al. 1 let. a CPP pour ce qui est de l’infraction d’usure.</w:t>
      </w:r>
    </w:p>
    <w:p>
      <w:r>
        <w:rPr>
          <w:b/>
        </w:rPr>
        <w:t>E. 5</w:t>
      </w:r>
    </w:p>
    <w:p>
      <w:r>
        <w:t>Il découle de ce qui précède qu’une instruction doit être menée, même si le domicile à l'étranger de E.________ en augmente les difficultés. Cette instruction devra porter sur les faits relevant de l'infraction d'usure. Il appartiendra au Ministère public de procéder à l'audition de E.________ pour qu'il présente notamment sa version des faits, la nature précise de ses relations avec le défunt, leurs rapports économiques, le paiement de l'entretien quotidien, la nature et fréquence des services rendus, les circonstances, les justifications et l’affectation des montants reçus, ainsi que la gestion des comptes et des dettes aussitôt après le décès de C.________. Il conviendra également de se procurer les relevés des comptes bancaires, respectivement postaux du défunt de 2020 à 2024.</w:t>
      </w:r>
    </w:p>
    <w:p>
      <w:r>
        <w:rPr>
          <w:b/>
        </w:rPr>
        <w:t>E. 6</w:t>
      </w:r>
    </w:p>
    <w:p>
      <w:r>
        <w:t>En définitive, le recours doit être admis et l’ordonnance entreprise annulée en tant qu’elle porte sur l’infraction d’usure. L’ordonnance sera confirmée pour le surplus. Le dossier de la cause sera 12J010</w:t>
      </w:r>
    </w:p>
    <w:p>
      <w:r>
        <w:t>- 16 - renvoyé au Ministère public de l'arrondissement de Lausanne pour qu’il procède dans le sens des considérants. Vu le sort du recours, les frais de la procédure, constitués du seul émolument d’arrêt, par 1'650 fr. (art. 20 al. 1 TFIP [tarif des frais de procédure et indemnités en matière pénale du 28 septembre 2010 ; BLV 312.03.1]), seront laissés à la charge de l’Etat (art. 428 al. 4 CPP). Le recourant, qui a procédé avec l’assistance d’un conseil de choix et qui a obtenu gain de cause sur le principe, a droit, à la charge de l’Etat,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retenu une durée d’activité totale de quatre heures au tarif horaire de 300 fr. (art. 26a al. 3 TFIP ; TF 7B_35/2022 du 22 février 2024, JdT 2024 III 61), à hauteur de 1’200 francs. A ce montant il convient d’ajouter des débours forfaitaires à concurrence de 2 % des honoraires admis (art. 19 al. 2 TDC [Tarif des dépens en matière civile du 23 novembre 2010 ; BLV 270.11.6]), par 24 fr., plus la TVA au taux de 8,1 %, par 99 fr. 15. L’indemnité s’élève ainsi à 1'324 fr. au total, en chiffres arrondis. Par ces motifs, la Chambre des recours pénale prononce : I. Le recours est admis. II. L’ordonnance du 24 septembre 2025 est annulée en tant qu’elle porte sur l’infraction d’usure. L’ordonnance est confirmée pour le surplus. III. Le dossier de la cause est renvoyé au Ministère public de l’arrondissement de Lausanne pour qu’il procède dans le sens des considérants. IV. Les frais d’arrêt, par 1’650 fr. (mille six cent cinquante francs), sont laissés à la charge de l’Etat. 12J010</w:t>
      </w:r>
    </w:p>
    <w:p>
      <w:r>
        <w:t>- 17 - V. Une indemnité de 1'324 fr. (mille trois cent vingt-quatre francs) est allouée à B.________ pour la procédure de recours, à la charge de l’Etat. VI. L’arrêt est exécutoire. La présidente : Le greffier : Du Le présent arrêt, dont la rédaction a été approuvée à huis clos, est notifié, par l'envoi d'une copie complète, à : - Me Samuel Pahud,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