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PE24.025977 vom 26. März 2025</w:t>
      </w:r>
    </w:p>
    <w:p>
      <w:r>
        <w:t>VD Tribunal cantonal, 2025-03-26, FR</w:t>
      </w:r>
    </w:p>
    <w:p>
      <w:r>
        <w:rPr>
          <w:b/>
        </w:rPr>
        <w:t xml:space="preserve">Quelle: </w:t>
      </w:r>
      <w:r>
        <w:t>https://mcp.opencaselaw.ch/entscheid/vd_gerichte_PE24.025977</w:t>
      </w:r>
    </w:p>
    <w:p>
      <w:r>
        <w:t>FR: VD_GERICHTE PE24.025977 du 26 mars 2025</w:t>
      </w:r>
    </w:p>
    <w:p>
      <w:r>
        <w:t>IT: VD_GERICHTE PE24.025977 del 26 marzo 2025</w:t>
      </w:r>
    </w:p>
    <w:p>
      <w:pPr>
        <w:pStyle w:val="Heading2"/>
      </w:pPr>
      <w:r>
        <w:t>Erwägungen</w:t>
      </w:r>
    </w:p>
    <w:p>
      <w:r>
        <w:rPr>
          <w:b/>
        </w:rPr>
        <w:t>E. 1</w:t>
      </w:r>
    </w:p>
    <w:p>
      <w:r>
        <w:t>- 4 -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 Les pièces nouvelles produites à l’appui du recours sont également recevables (art. 389 al. 3 CPP ; TF 1B_550/2022 du 17 novembre 2022 consid. 2.1 ; CREP 18 avril 2024/302 ; CREP 13 septembre 2024/652).</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6B_1177/2022 du 21 février 2023 consid. 2.1 ; TF 6B_933/2021 du 21 février 2022 consid. 2.1 ; TF 6B 670/2021 du 7 décembre 2021 consid. 3.2). En d'autres termes, il faut être</w:t>
      </w:r>
    </w:p>
    <w:p>
      <w:r>
        <w:t>- 6 -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 2.1 ; ATF 138 IV 86 précité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 20 décembre 2017 consid. 2. 2).</w:t>
      </w:r>
    </w:p>
    <w:p>
      <w:r>
        <w:rPr>
          <w:b/>
        </w:rPr>
        <w:t>E. 2.1</w:t>
      </w:r>
    </w:p>
    <w:p>
      <w:r>
        <w:t>Contestant le refus d’entrer en matière, la recourante fait valoir que tous les éléments objectifs et subjectifs de l’escroquerie seraient remplis, en particulier l’astuce, ce qui justifierait l’ouverture d’une instruction. Elle reproche notamment au Ministère public de ne pas avoir auditionné T.________. Elle fait valoir que T.________ savait ou aurait dû savoir dans quelle situation se trouvait la société I.________, qu’il se serait fait passer pour une personne désintéressée, soit un simple apporteur d’affaires indépendant, alors qu’en réalité il était, selon elle, bien plus que cela, ce qui démontrait qu’elle avait été trompée dès le départ sur le rôle du prénommé dans cette entreprise. Elle expose que T.________ aurait présenté une institution économiquement saine, qui était mise en avant sur la place économique mondiale, vantant ainsi sa qualité et ses possibilités de développement dans le domaine écologique, alors qu’il savait pertinemment ou devait savoir que la réalité était tout autre. Elle soutient ensuite que T.________ serait intervenu alors qu’elle traversait une</w:t>
      </w:r>
    </w:p>
    <w:p>
      <w:r>
        <w:t>- 5 - situation difficile et qu’il se serait construit une place privilégiée. La recourante estime ainsi que T.________ aurait usé de nombreux stratagèmes pour qu’elle lui fasse confiance, en lui disant qu’il était régulièrement en voyage et en postant des photos où il rendait visite aux plantations avec des investisseurs, ce qui aurait davantage renforcé le lien de confiance, lien dont il aurait profité pour l'inciter à investir USD 43'000.- . Elle considère dès lors que ce serait à tort que le Ministère public lui reproche de ne pas avoir fait de recherches nécessaires et de ne pas avoir remarqué les anomalies dans les différents contrats.</w:t>
      </w:r>
    </w:p>
    <w:p>
      <w:r>
        <w:rPr>
          <w:b/>
        </w:rPr>
        <w:t>E. 2.1.1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2.1.2</w:t>
      </w:r>
    </w:p>
    <w:p>
      <w:r>
        <w:t>Aux termes de l'art. 146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Une simple tromperie ne suffit toutefois pas. Encore faut-il qu'elle puisse être qualifiée d'astucieuse. Il y a tromperie astucieuse, au</w:t>
      </w:r>
    </w:p>
    <w:p>
      <w:r>
        <w:t>- 7 -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JdT 2021 IV 221 ; ATF 142 IV 153 consid. 2.2.2, JdT 2017 IV 75 ; TF 6B_1290/2022 du 7 juillet 2023 consid. 1.4.1). Tel est notamment le cas si la dupe, en raison de sa situation personnelle (faiblesse d'esprit, inexpérience, grand âge ou maladie), n'est pas en mesure de procéder à une vérification et que l'auteur exploite cette situation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6B_135/2019 du 4 avril 2019 consid. 3.1.4 ; TF 6B_659/2014 du 22 décembre 2017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w:t>
      </w:r>
    </w:p>
    <w:p>
      <w:r>
        <w:t>- 8 - Dupuis et alii, Petit Commentaire du Code pénal, 2e éd., Bâle 2017, n. 34 ad art. 146 CP).</w:t>
      </w:r>
    </w:p>
    <w:p>
      <w:r>
        <w:rPr>
          <w:b/>
        </w:rPr>
        <w:t>E. 2.2</w:t>
      </w:r>
    </w:p>
    <w:p>
      <w:r>
        <w:t>En l’espèce, les motifs de l’ordonnance entreprise sont détaillés et convaincants. En effet, entre le début des échanges entre A.________ et T.________ et le versement du montant de USD 43'000.- à I.________, une année s’était écoulée sans que la recourante n’entreprenne de sérieuses recherches sur la fiabilité de T.________ et la viabilité de cette société. A la lecture de sa plainte, on constate qu’elle était effectivement consciente de l’ampleur de cette opération d’un montant conséquent et qu’elle savait que, par cet acte, elle « mettait tous ses œufs dans le même panier » (« All my eggs went into the basket I transferred to you »). Par ailleurs, il ne ressort pas des échanges WhatsApp produits au dossier que T.________ l’aurait particulièrement incitée à transférer son argent ni qu’il l’aurait dissuadée ou empêchée de mener ses propres vérifications en 2018 et 2019 quant au sérieux de la société et de son projet d’investissement. D’ailleurs, la recourante ne le soutient pas dans son recours. Elle savait également que T.________ agissait comme apporteur d’affaires indépendant pour I.________, étant précisé que les intéressés se rencontraient dans des lieux publics, et jamais dans les locaux que la société I.________ prétendait avoir à Genève. Le fait que les échanges en lien avec le prétendu investissement se soient fait essentiellement par WhatsApp et/ou courriels, constitue en outre un procédé hors du commun pour une relation d’affaires commerciale de ce type. La prudence était d’autant plus commandée par les circonstances qu’il semble avoir été demandé à la plaignante d’effectuer le versement des fonds à I.________ avant même qu’elle ait reçu les contrats signés, ce qui est une manière de procéder totalement anormale pour tout type d’investissement. Elle a d’ailleurs elle-même qualifié cette pratique de « horrifiante », « précaire » et « irresponsable » dans ses échanges avec T.________. La recourante soutient certes qu’elle aurait fait relire les documents reçus par deux avocats ainsi que deux contacts qu’elle avait au sein de « [...] », qui auraient confirmé la bonne réputation de I.________. Toutefois, aucun élément au dossier, ni en particulier les documents produits par la recourante à cet égard, n’établissent, ni même ne rendent vraisemblables</w:t>
      </w:r>
    </w:p>
    <w:p>
      <w:r>
        <w:t>- 9 - ces faits. Il s’agit d’autant d’éléments qui auraient dû amener la recourante à procéder à de plus amples vérifications Les incohérences relevées par le Ministère public au sujet de la société I.________ permettent d’emblée d’émettre des doutes sérieux sur sa taille et son activité effective. Il en va de même pour la lecture des contrats d’achat-vente, de sous-licence, de gestion et les conditions générales transmis par T.________ à la recourante le 30 août 2019, soit deux mois avant le versement des fonds, ce qui aurait dû renforcer les doutes quant à la réalité de la société et du projet proposé. T.________ aurait garanti à A.________ un rendement d’au moins 15 % par an. L’autorité de céans estime, à l’instar du Ministère public, que ce taux de rendement est extrêmement élevé, voire irréaliste, ce d’autant plus que les différents contrats signés par la recourante n’en faisaient aucune mention. Il est ainsi évident que les vérifications de base auraient pourtant permis à la recourante de prendre conscience du caractère trompeur de la proposition d’investissement dès le mois d’août 2019. On ne saurait non plus considérer que les parties étaient liées par une relation de confiance particulière qui aurait incité la recourante à verser le montant litigieux à T.________. En effet, rien ne permet de retenir qu’elle se serait trouvée dans une situation de faiblesse au point qu’elle aurait pu être dupée. A tout le moins, elle n’apporte aucun indice permettant de rendre vraisemblable une telle fragilité. On relève à cet égard qu’elle n’entretenait pas une relation de longue date avec T.________, contrairement à ce qu’elle tente de faire valoir, au point d’avoir été trompée par ce dernier en raison du rapport de confiance qui aurait été instauré au fil de leurs échanges. L’intéressée disposait de toutes ses capacités cognitives, malgré une situation privée et personnelle décrite comme « compliquée », ce qui exclut un quelconque lien de dépendance envers T.________. La recourante était ainsi pleinement consciente de la situation. Certes, elle semble ne pas être expérimentée en affaires et les diverses sollicitations de T.________ ont pu la conduire à se méprendre sur leur relation. Toutefois, on ne peut que partager l’appréciation du Ministère public quant à la légèreté dont elle a fait preuve et retenir que,</w:t>
      </w:r>
    </w:p>
    <w:p>
      <w:r>
        <w:t>- 10 - dans ces circonstances, la recourante aurait pu se protéger en prenant des mesures de prudence élémentaires, ce qu’elle n’a pas fait. Dès lors, les faits dénoncés permettent d'exclure d’emblée toute escroquerie, faute de comportement astucieux de la part T.________. La condition de l'astuce n'étant manifestement pas réalisée et le litige étant essentiellement de nature civile, c’est à bon droit que le Ministère public a refusé d’entrer en matière sur la plainte de A.________.</w:t>
      </w:r>
    </w:p>
    <w:p>
      <w:r>
        <w:rPr>
          <w:b/>
        </w:rPr>
        <w:t>E. 3</w:t>
      </w:r>
    </w:p>
    <w:p>
      <w:r>
        <w:t>En définitive, le recours, manifestement mal fondé, doit être rejeté sans échange d’écritures (art. 390 al. 2 CPP) et l’ordonnance attaquée confirmée. La requête de la recourante tendant à l’octroi de l’assistance judiciaire pour la procédure de recours et à la désignation de Me Axel Schmidlin en qualité de conseil juridique gratuit doit être rejetée, le recours étant d’emblée dénué de chances de succès (art. 136 al. 2 et 3 CPP). Les frais de la procédure de recours, constitués du seul émolument d’arrêt (art. 422 al. 1 CPP), par 1’100 fr. (art. 20 al. 1 TFIP [Tarif des frais de procédure et indemnités en matière pénale du 28 septembre 2010 ; BLV 312.03.1]), seront mis à la charge de la recourante, qui succombe (art. 428 al. 1 CPP).</w:t>
      </w:r>
    </w:p>
    <w:p>
      <w:r>
        <w:t>- 11 - Par ces motifs, la Chambre des recours pénale prononce : I. Le recours est rejeté. II. L’ordonnance du 6 janvier 2025 est confirmée. III. La requête d’assistance judiciaire est rejetée. IV. Les frais d’arrêt, par 1'100 fr. (mille cent francs), sont mis à la charge de A.________. V. L’arrêt est exécutoire. Le président : La greffière : Du Le présent arrêt, dont la rédaction a été approuvée à huis clos, est notifié, par l'envoi d'une copie complète, à : - Me Axel Schmidlin, avocat (pour A.________), - Ministère public central, et communiqué à : - M. le Procureur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