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PE24.025770 vom 13. Juni 2025</w:t>
      </w:r>
    </w:p>
    <w:p>
      <w:r>
        <w:t>VD Tribunal cantonal, 2025-06-13, FR</w:t>
      </w:r>
    </w:p>
    <w:p>
      <w:r>
        <w:rPr>
          <w:b/>
        </w:rPr>
        <w:t xml:space="preserve">Quelle: </w:t>
      </w:r>
      <w:r>
        <w:t>https://mcp.opencaselaw.ch/entscheid/vd_gerichte_PE24.025770</w:t>
      </w:r>
    </w:p>
    <w:p>
      <w:r>
        <w:t>FR: VD_GERICHTE PE24.025770 du 13 juin 2025</w:t>
      </w:r>
    </w:p>
    <w:p>
      <w:r>
        <w:t>IT: VD_GERICHTE PE24.025770 del 13 giugno 2025</w:t>
      </w:r>
    </w:p>
    <w:p>
      <w:pPr>
        <w:pStyle w:val="Heading2"/>
      </w:pPr>
      <w:r>
        <w:t>Erwägungen</w:t>
      </w:r>
    </w:p>
    <w:p>
      <w:r>
        <w:rPr>
          <w:b/>
        </w:rPr>
        <w:t>E. 1</w:t>
      </w:r>
    </w:p>
    <w:p>
      <w:r>
        <w:t>Les parties peuvent attaquer une ordonnance de non-entrée en matière rendue par le Ministère public en application de l’art. 310 CPP (Code de procédure pénale du 5 octobre 2007;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posté le 25 février 2025 a été déposé en temps utile par la plaignante devant l’autorité compétente et dans les formes prescrites (art. 385 al. 1 CPP). Partant, il est recevable.</w:t>
      </w:r>
    </w:p>
    <w:p>
      <w:r>
        <w:rPr>
          <w:b/>
        </w:rPr>
        <w:t>E. 2.1</w:t>
      </w:r>
    </w:p>
    <w:p>
      <w:r>
        <w:t>La recourante soutient en substance que le contenu des images de vidéosurveillance, les déclarations contradictoires faites par P.________ et ses antécédents, ainsi que de l’objet de l’altercation – soit la lettre que F.________ avait écrite au tribunal dans le cadre de la séparation entre son frère et P.________ – permettraient d’éveiller suffisamment de soupçons pour qu’une enquête pénale soit ouverte. Elle soutient qu’une audience de confrontation entre les parties, l’audition de témoins ou la production d’un rapport de police sur les appels passés entre les deux parties pourraient être mis en oeuvre pour éclaircir les faits.</w:t>
      </w:r>
    </w:p>
    <w:p>
      <w:r>
        <w:rPr>
          <w:b/>
        </w:rPr>
        <w:t>E. 2.2</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w:t>
      </w:r>
    </w:p>
    <w:p>
      <w:r>
        <w:t>- 5 -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- 6 -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TF 6B_1148/2021 du 23 juin 2023 consid. 3.1; 6B_1056/2018 du 29 janvier 2019 consid. 2.2.2).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7B_5/2022 du 12 octobre 2023 consid. 4.1; 6B_1148/2021 précité consid. 3.1; 6B_790/2022 du 15 juin 2023 consid. 4.2.2; 6B_996/2021 du 31 mai 2022 consid. 3.2 ; pour le tout : TF 7b_107/2023 du 20 novembre 2024 consid. 2.1.3).</w:t>
      </w:r>
    </w:p>
    <w:p>
      <w:r>
        <w:rPr>
          <w:b/>
        </w:rPr>
        <w:t>E. 2.3</w:t>
      </w:r>
    </w:p>
    <w:p>
      <w:r>
        <w:t>En l'occurrence, c'est à juste titre que la recourante fait valoir que les déclarations de P.________ sont contredites par les quelques éléments de preuve qui figurent au dossier. En effet, sur les images de vidéosurveillance, on voit clairement cette dernière presser le pas, allant jusqu'à trotter, pour venir à la rencontre de la plaignante, et non pas le contraire, comme elle l'a rapporté aux policiers (PV aud. 2). Les déclarations qu'elle a faites à cette occasion sont d'ailleurs intrinsèquement contradictoires, puisqu'on y lit tout à la fois qu'elle est partie et qu'elle s'est mise devant la plaignante. Ici encore, les images de vidéosurveillance montrent que c'est P.________ qui a poursuivi la plaignante lorsque celle-ci s'est dirigée vers les rangées de caddies ; c'est elle encore qui semble l'empêcher, par sa seule présence, d'emmener l'un de ces engins. On constate aussi que lorsque la plaignante a tenté de</w:t>
      </w:r>
    </w:p>
    <w:p>
      <w:r>
        <w:t>- 7 - changer de colonne pour emprunter un autre caddie, P.________ l'a encore suivie. On peut en déduire qu'il est vraisemblable que celle-ci ne dit pas la vérité lorsqu'elle tente de se défausser sur la plaignante de la responsabilité d'avoir pris l'initiative de la confrontation et d'avoir persisté à l'alimenter. Il faut voir aussi que P.________ avait de sérieuses raisons de vouloir en découdre avec la plaignante, en raison du témoignage – ou de l'attestation – à charge que celle-ci avait livré, comme l'admettent les parties, dans le cadre du litige qui divisait son frère d'avec P.________. Dans ces circonstances, on ne saurait admettre que les versions des parties seraient irréductiblement contradictoires. Le visionnage des images de vidéosurveillance accrédite assez nettement la thèse défendue par la plaignante, selon laquelle c'est P.________ qui est le moteur essentiel - sinon exclusif - de l'altercation. Si l’on peut certes écarter l’infraction de voies de fait (art. 126 CP [Code pénal suisse du 21 décembre 1937 ; RS 311.0]) – les images permettant de constater l'absence de contact entre les parties – et de contrainte (art. 181 CP) – la gêne causée par la présence insistante de P.________ paraissant a priori par trop fugace pour atteindre l'intensité requise par la loi pour admettre l'usage d'un véritable moyen de contrainte (cf. Dupuis et al., Code pénal, Petit commentaire, 2e éd., n. 10 ad art. 181 CP) –, l'infraction d'injure (art. 177 CP) n’est pas exclue, compte tenu du contentieux que la prévenue avait à régler avec la plaignante et du fait que c'est bien celle-là qui a pris l'initiative d'imposer le contact avec celle-ci. Dans ce cadre, les mesures d'instruction que réclame la recourante – à savoir la production par la police de l'Ouest lausannois de tout document, en particulier les mains courantes, rendant compte des appels téléphoniques passés par les parties ce 29 juillet 2024, et l'audition, en qualité de témoin, de la vendeuse présente ce jour-là à la réception du magasin [...], dont l'identité reste à déterminer – apparaissent pertinentes. Ainsi, et même en l’absence de preuve supplémentaire, la version de P.________ apparaît moins plausible, car elle est – du moins pour la partie non sonore – infirmée par la vidéosurveillance, d’une part, et par le fait que l’intéressée s’’est contredite, d’autre part. Il apparaît qu’une</w:t>
      </w:r>
    </w:p>
    <w:p>
      <w:r>
        <w:t>- 8 - probabilité de condamnation est plus vraisemblable, ou du moins en tout cas équivalente, qu’une probabilité d’acquitter. Or, dans ce cas, il convient de renvoyer la cause au Ministère public, même s’il n’existe pas d’autres moyens de preuve à disposition. On ne saurait en effet considérer qu’une ordonnance de non-entrée en matière puisse être prononcée pour des motifs d’opportunité ; même si les infractions reprochées n’apparaissent pas être d’une grande gravité, de tels comportements ne doivent pas restés impunis.</w:t>
      </w:r>
    </w:p>
    <w:p>
      <w:r>
        <w:rPr>
          <w:b/>
        </w:rPr>
        <w:t>E. 3.1</w:t>
      </w:r>
    </w:p>
    <w:p>
      <w:r>
        <w:t>En définitive, le recours doit être admis et l’ordonnance entreprise annulée. Le dossier de la cause sera ainsi renvoyé au Ministère public pour qu’il ouvre une instruction pénale et procède dans le sens des considérants.</w:t>
      </w:r>
    </w:p>
    <w:p>
      <w:r>
        <w:rPr>
          <w:b/>
        </w:rPr>
        <w:t>E. 3.2</w:t>
      </w:r>
    </w:p>
    <w:p>
      <w:r>
        <w:t>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Le montant de 770 fr. versé par la recourante à titre de sûretés lui sera ainsi restitué (art. 7 TFIP).</w:t>
      </w:r>
    </w:p>
    <w:p>
      <w:r>
        <w:rPr>
          <w:b/>
        </w:rPr>
        <w:t>E. 3.3</w:t>
      </w:r>
    </w:p>
    <w:p>
      <w:r>
        <w:t>La recourante, qui a procédé avec l’assistance d’un conseil de choix et qui a obtenu gain de cause, a droit, de la part de l’Etat, à une indemnité pour les dépenses occasionnées par la procédure de recours (art. 433 al. 1 let. a CPP, applicable par renvoi de l’art. 436 al. 1 CPP). Au vu du mémoire déposé et de la nature de l’affaire, cette indemnité sera fixée à 900 fr., correspondant à trois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8,1 %, par 74 fr. 35, soit à 993 fr. au total en chiffres arrondis.</w:t>
      </w:r>
    </w:p>
    <w:p>
      <w:r>
        <w:t>- 9 - Par ces motifs, la Chambre des recours pénale prononce : I. Le recours est admis. II. L’ordonnance du 14 février 2025 est annulée. III. Le dossier de la cause est renvoyé au Ministère public de l’arrondissement de Lausanne pour qu’il procède dans le sens des considérants. IV. Les frais d’arrêt, par 880 fr. (huit cent huitante francs), sont laissés à la charge de l’Etat. V. Le montant de 770 fr. (sept cent septante francs) versé par la recourante F.________ à titre de sûretés lui est restitué. VI. Une indemnité de 993 fr. (neuf cent nonante-trois francs) est allouée à la recourante F.________ pour la procédure de recours, à la charge de l’Etat. VII. L’arrêt est exécutoire. Le président : La greffière : Du Le présent arrêt, dont la rédaction a été approuvée à huis clos, est notifié, par l'envoi d'une copie complète, à : - Me Julien Lanfranconi (pour F.________), - P.________, - Ministère public central, et communiqué à : - Ministère public de l’arrondissement de Lausanne,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