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PE24.025734 vom 20. Dezember 2024</w:t>
      </w:r>
    </w:p>
    <w:p>
      <w:r>
        <w:t>VD Tribunal cantonal, 2024-12-20, FR</w:t>
      </w:r>
    </w:p>
    <w:p>
      <w:r>
        <w:rPr>
          <w:b/>
        </w:rPr>
        <w:t xml:space="preserve">Quelle: </w:t>
      </w:r>
      <w:r>
        <w:t>https://mcp.opencaselaw.ch/entscheid/vd_gerichte_PE24.025734</w:t>
      </w:r>
    </w:p>
    <w:p>
      <w:r>
        <w:t>FR: VD_GERICHTE PE24.025734 du 20 décembre 2024</w:t>
      </w:r>
    </w:p>
    <w:p>
      <w:r>
        <w:t>IT: VD_GERICHTE PE24.025734 del 20 dicembre 2024</w:t>
      </w:r>
    </w:p>
    <w:p>
      <w:pPr>
        <w:pStyle w:val="Heading2"/>
      </w:pPr>
      <w:r>
        <w:t>Erwägungen</w:t>
      </w:r>
    </w:p>
    <w:p>
      <w:r>
        <w:rPr>
          <w:b/>
        </w:rPr>
        <w:t>E. 1.1</w:t>
      </w:r>
    </w:p>
    <w:p>
      <w:r>
        <w:t>Aux termes de l’art. 393 al. 1 let. a CPP, le recours est recevable contre les décisions et actes de procédure de la police, du Ministère public et des autorités pénales compétentes en matière de contraventions.</w:t>
      </w:r>
    </w:p>
    <w:p>
      <w:r>
        <w:rPr>
          <w:b/>
        </w:rPr>
        <w:t>E. 1.2</w:t>
      </w:r>
    </w:p>
    <w:p>
      <w:r>
        <w:t>Le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sont contestés</w:t>
      </w:r>
    </w:p>
    <w:p>
      <w:r>
        <w:t>- 3 - (Bähler, in : Niggli/Heer/ Wiprächtiger [éd.], Basler Kommentar Schweizerische Strafprozessordnung Jugendstrafprozessordnung, 3e éd., Bâle 2023 [ci-après : Basler Kommentar], n. 2 ad art. 385 CPP). Il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7B_355/2023 du 30 juillet 2024 consid. 2.2.1 ; TF 6B_1447/2022 du 14 mars 2023 consid. 1.1 et les références citées ; Guidon, in : Basler Kommentar, op. cit., n. 9c ad art. 396 CPP et les références citées ; Keller, in : Donatsch et al. [éd.], Zürcher Kommentar, Schweizerischen Strafprozessordnung, 3e éd., Zurich/Bâle/Genève 2020, n. 14 ad art. 396 CPP et les références citées ; Calame, in : Jeanneret et al. [éd.], Commentaire romand, Code de procédure pénale suisse, 2e éd., Bâle 2019, n. 21 ad art. 385 CPP).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7B_355/2023 précité consid. 2.2.1, TF 6B_1447/2022 précité ; CREP 13 septembre 2024/656 consid. 1.2).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w:t>
      </w:r>
    </w:p>
    <w:p>
      <w:r>
        <w:t>- 4 -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 2.2).</w:t>
      </w:r>
    </w:p>
    <w:p>
      <w:r>
        <w:rPr>
          <w:b/>
        </w:rPr>
        <w:t>E. 2</w:t>
      </w:r>
    </w:p>
    <w:p>
      <w:r>
        <w:t>En l’espèce, Q.________ expose dans son recours que la veille, alors qu’il était fortement alcoolisé, il aurait invectivé « quelque peu » un agent de police qui l’aurait mal regardé. Celui-ci l’aurait alors violemment mis au sol et menotté. Dans la voiture qui l’acheminait à l’Hôtel de police, le recourant aurait été énervé par le policier qui conduisait et aurait « bougé son pied dans la direction du siège dans le but de le taper ». L’agent qui se trouvait à ses côtés l’aurait alors violemment attaqué, abîmant sa chemise et son pendentif, et aurait placé son coude sur sa gorge, l’empêchant de respirer. Arrivé au poste, Q.________ aurait été violemment sorti du véhicule puis traîné comme un objet. Il aurait fait l’objet d’une fouille complète contre sa volonté, avant d’être placé dans une cellule en caleçon alors qu’il faisait froid. On aurait en outre refusé de lui donner à boire. Le lendemain, il aurait subi un interrogatoire alors qu’il était dans un état de stress post-traumatique puis conduit au CHUV contre sa volonté. Force est de constater que le recourant se contente de relater le déroulement de son interpellation. Alors qu’il requiert que la Chambre de céans constate « l’illicéité des actes de la police », il n’indique pas quels actes sont concernés par sa demande, pas plus qu’il n’explique en quoi ils seraient critiquables, respectivement illicites. Partant, le recours ne satisfait manifestement pas aux exigences de motivation de l’art. 385 al. 1 CPP et, conformément à la</w:t>
      </w:r>
    </w:p>
    <w:p>
      <w:r>
        <w:t>- 5 - jurisprudence précitée, il ne saurait être fait application de l’art. 385 al. 2 CPP pour pallier cette carence.</w:t>
      </w:r>
    </w:p>
    <w:p>
      <w:r>
        <w:rPr>
          <w:b/>
        </w:rPr>
        <w:t>E. 3</w:t>
      </w:r>
    </w:p>
    <w:p>
      <w:r>
        <w:t>Au vu de ce qui précède, le recours doit être déclaré irrecevable sans échange d’écritures (art. 390 al. 2 CPP). Les frais de la procédure de recours, constitués en l’espèce du seul émolument d’arrêt (art. 422 al. 1 CPP), par 550 fr. (art. 20 al. 1 TFIP [tarif des frais de procédure et indemnités en matière pénale du 28 septembre 2010 ; BLV 312.03.1]), seront mis à la charge du recourant, qui succombe (art. 428 al. 1 CPP). Par ces motifs, la Chambre des recours pénale prononce : I. Le recours est irrecevable. II. Les frais d’arrêt, par 550 fr. (cinq cent cinquante francs), sont mis à la charge d’Q.________. III. L’arrêt est exécutoire. Le président : La greffière : Du Le présent arrêt, dont la rédaction a été approuvée à huis clos, est notifié, par l'envoi d'une copie complète, à : - M. Q.________, - Ministère public central,</w:t>
      </w:r>
    </w:p>
    <w:p>
      <w:r>
        <w:t>- 6 - et communiqué à : - Mme la Procureure de l’arrondissement de Lausanne, - Police municipale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