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PE24.024982 vom 31. Dezember 2025</w:t>
      </w:r>
    </w:p>
    <w:p>
      <w:r>
        <w:t>VD Tribunal cantonal, 2025-12-31, FR</w:t>
      </w:r>
    </w:p>
    <w:p>
      <w:r>
        <w:rPr>
          <w:b/>
        </w:rPr>
        <w:t xml:space="preserve">Quelle: </w:t>
      </w:r>
      <w:r>
        <w:t>https://mcp.opencaselaw.ch/entscheid/vd_gerichte_PE24.024982</w:t>
      </w:r>
    </w:p>
    <w:p>
      <w:r>
        <w:t>FR: VD_GERICHTE PE24.024982 du 31 décembre 2025</w:t>
      </w:r>
    </w:p>
    <w:p>
      <w:r>
        <w:t>IT: VD_GERICHTE PE24.024982 del 31 dicembre 2025</w:t>
      </w:r>
    </w:p>
    <w:p>
      <w:pPr>
        <w:pStyle w:val="Heading2"/>
      </w:pPr>
      <w:r>
        <w:t>Erwägungen</w:t>
      </w:r>
    </w:p>
    <w:p>
      <w:r>
        <w:rPr>
          <w:b/>
        </w:rPr>
        <w:t>E. 21</w:t>
      </w:r>
    </w:p>
    <w:p>
      <w:r>
        <w:t>décembre 2005, FF 2006 pp. 1057 ss, spéc. 1255). La décision de classer 12J010</w:t>
      </w:r>
    </w:p>
    <w:p>
      <w:r>
        <w:t>- 6 -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3.2.2 Selon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Il peut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La 12J010</w:t>
      </w:r>
    </w:p>
    <w:p>
      <w:r>
        <w:t>- 7 -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 Il ressort de la jurisprudence fédérale que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 TF 6B_20/2024 du 17 décembre 2024 consid. 15.1)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120 IV 17 consid. 2a/aa ; TF 6B_271/2024 du 17 septembre 2024 consid. 2.1.1).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6B_20/2024 précité consid. 15.1). Ainsi, la menace de ne pas conclure un contrat dont la signature est prévue et dont l'échec entraînerait une grosse perte financière représente une menace de dommage sérieux (ATF 105 IV 120 consid. 2a). Par ailleurs, la possibilité de se défendre par la voie judiciaire contre le 12J010</w:t>
      </w:r>
    </w:p>
    <w:p>
      <w:r>
        <w:t>- 8 - dommage dont on est menacé ne supprime pas sans autre le caractère sérieux de celui-ci (ATF 122 IV 322 consid. 1a).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Commet un acte contraire au droit celui qui, afin d'exercer la contrainte, fait dépendre l'un de l'autre deux actes en eux-mêmes légitimes, mais qui ne sont pas, entre eux, dans un rapport interne de connexité (ATF 106 IV 125 consid. 3 ; ATF 96 IV 58 consid. 4). Savoir si la restriction de la liberté d'action constitue une contrainte illicite dépend ainsi de l'ampleur de l'entrave, de la nature des moyens employés à la réaliser et des objectifs visés par l'auteur (ATF 129 IV 262 consid 2.1 ; ATF 129 IV 6 consid. 3.4). Un moyen de contrainte doit être taxé d'abusif ou de contraire aux mœurs lorsqu'il permet d'obtenir un avantage indu (ATF 120 IV 17 consid. 2a/bb ; ATF 106 IV 125 consid 3a ; TF 6B_598/2022 du 9 mars 2023 consid. 2.1.2). Ainsi, est contraire aux mœurs le but poursuivi par un époux qui contraint son épouse à rejoindre le domicile conjugal, contre sa volonté et sans égard à son droit éventuel à vivre séparée (ATF 101 IV 42 consid. 3 ; TF 6B_191/2022 du 21 septembre 2022 consid. 5.1.3). La contrainte constitue un délit matériel. Ainsi, les moyens de contrainte utilisés à l'endroit d'une personne doivent avoir obligé cette dernière à faire, à ne pas faire ou à laisser faire un acte (ATF 101 IV 167 consid. 3). Lorsque la victime ne se laisse pas intimider et n'adopte pas le comportement voulu par l'auteur, ce dernier est punissable pour tentative de contrainte (art. 22 al. 1 CP ; ATF 129 IV 262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 ; TF 6B_598/2022 précité consid. 2.1.2). 12J010</w:t>
      </w:r>
    </w:p>
    <w:p>
      <w:r>
        <w:t>- 9 - 3.3 En l’espèce, l’offre formulée par les prévenus n’était pas disproportionnée, ni contraire aux mœurs, étant rappelé qu’une offre transactionnelle extrajudiciaire ou judiciaire n’est pas per se illégale. Le fait que le paiement de cette somme ne s’accompagnait pas d’un départ immédiat mais différé, comme le plaide le recourant, n’y change rien. En effet, les termes de l’offre doivent être examinés dans leur ensemble et dans leur contexte. Or, en l’espèce, les prévenus ont fait des aménagements conséquents pour une grande salle de restaurant et une véranda et gèrent un restaurant nécessitant des rapports commerciaux avec des fournisseurs, en sorte qu’il semble peu surprenant que leur offre transactionnelle ne comporte pas une libération immédiate des locaux. Pour le surplus, le plaignant n’expose pas en quoi cette offre serait disproportionnée ni en quoi son analyse à la lumière du fonds de commerce serait erronée. Au contraire, en estimant l’offre avec les enjeux financiers, la Procureure a tenu compte des circonstances d’espèce. Le fait que le litige relatif à la validité du contrat de bail ait une incidence sur la vente des locaux à une tierce entité n’est pas de la volonté des prévenus et il ne saurait leur être imputé que la « perte de la chance de conclure le contrat de vente » constitue une menace de leur part. Les éléments constitutifs de la contrainte, même sous la forme de la tentative, ne sont donc pas remplis in casu, faute d’illégalité, de disproportion ou d’offre contraire aux mœurs. L’arrêt du Tribunal fédéral dont se prévaut le recourant n’est pas transposable au présent cas. Le cas soumis au Tribunal fédéral concernait deux époux en instance de divorce, avec une inégalité manifeste entre les conjoints, dès lors que l’épouse était clairement dépendante de son époux fortuné et que ses besoins de subsistance, ainsi que ceux des enfants, étaient en jeu. L’inégalité entre les parties était patente et la menace exercée était objectivement et subjectivement sérieuse au vu des circonstances, partant, de nature à contraindre celle-ci à des actes préjudiciables à ses intérêts. Tel n’est pas le cas dans le cas présent, puisque le propriétaire n’était pas dans une position moins favorable que les locataires. Au contraire, en règle générale, la partie considérée comme « faible » dans un contrat de bail est le locataire. L’offre n'a par surcroît pas 12J010</w:t>
      </w:r>
    </w:p>
    <w:p>
      <w:r>
        <w:t>- 10 - été formulée de manière « secrète », mais dans les pas perdus, un lieu ouvert, puis en audience devant le magistrat, en présence d’un tiers promettant-acquéreur, et ne concernait pas des revenus mettant en jeu les moyens de subsistance du plaignant. Le seul fait que la conclusion d’un accord avec des conséquences financières soit en jeu ne permet pas d’assimiler les situations ; si tel était le cas, aucune transaction ou conciliation ne serait plus licite. Les circonstances et les positions juridiques étant complètement différentes, l’arrêt du Tribunal fédéral produit ne saurait être appliqué mutatis mutandis à la présente cause. Quant au jugement du 22 janvier 2025 du Tribunal des baux, a fortiori motivé, on ne voit pas son utilité, les faits dénoncés étant antérieurs et la Procureure ayant relevé que l’issue d’une procédure judiciaire était incertaine, en sorte qu’il serait erroné de procéder à une nouvelle analyse de cette offre transactionnelle à la lumière du jugement rendu ultérieurement. La Procureure n’a pas – contrairement à ce que le recourant soutient – violé le principe de la bonne foi et préjugé le litige civil, en tenant les prévenus de bonne foi quant à leurs prétentions devant le Tribunal des baux. Elle s’est, précisément et conformément à la jurisprudence, limitée à constater que les prévenus s’estimaient raisonnablement dans leur droit, au vu des pièces qu’ils détenaient. Cela ne signifie aucunement que la Procureure aurait admis les prétentions civiles dans le contrat de bail des prévenus ou considéré que ceux-ci étaient effectivement de bonne foi ou dans leurs droits. L’annulation d’auditions ne permet pas non plus de considérer que la Procureure aurait violé le principe de la bonne foi. Au contraire, en constatant que la cause devait se terminer par un classement de la procédure et que les auditions n’étaient pas de nature à élucider les faits, ou étaient superfétatoires parce que ces auditions n’étaient pas susceptibles de modifier l’état de fait déterminant, elle a économisé des actes de procédure vains et s’est justement conformée au principe de la bonne foi, en rendant une ordonnance de classement sans la différer. 12J010</w:t>
      </w:r>
    </w:p>
    <w:p>
      <w:r>
        <w:t>- 11 - Partant, le grief de violation de la maxime in dubio pro duriore tombe à faux. 4 En définitive, le recours, manifestement mal fondé, doit être rejeté sans échange d’écritures (art. 390 al. 2 CPP) et l’ordonnance attaquée confirmée. Les frais de la procédure de recours, constitués du seul émolument d’arrêt, par 1’100 fr. (art. 20 al. 1 TFIP [Tarif des frais de procédure et indemnités en matière pénale du 28 septembre 2010 ; BLV 312.03.1]), seront mis à la charge du recourant, qui succombe (art. 428 al. 1 CPP). Le montant de 770 fr. déjà versé par celui-ci le 8 décembre 2025 à titre de sûretés (art. 383 al. 1 CPP) sera imputé sur les frais mis à sa charge (art. 7 TFIP), de sorte que le solde dû par le recourant s’élève à 330 francs. Vu le sort du recours, aucune indemnité fondée sur l’art. 433 CPP ne saurait être allouée au recourant. Par ces motifs, la Chambre des recours pénale prononce : I. Le recours est rejeté. II. L’ordonnance du 31 octobre 2025 est confirmée. III. Les frais d’arrêt, par 1’100 fr. (mille cent francs), sont mis à la charge d’A.________. IV. Le montant de 770 fr. (sept cent septante francs) versé par le recourant à titre de sûretés est imputé sur les frais mis à 12J010</w:t>
      </w:r>
    </w:p>
    <w:p>
      <w:r>
        <w:t>- 12 - sa charge au chiffre III ci-dessus et le solde dû à l’Etat par A.________ s’élève à 330 fr. (trois cent trente francs). V. L’arrêt est exécutoire. Le président : La greffière : Du Le présent arrêt, dont la rédaction a été approuvée à huis clos, est notifié, par l'envoi d'une copie complète, à : - Me Frank Tièche, avocat (pour A.________), - Ministère public central, et communiqué à : - Mme la Procureure de l’arrondissement de Lausanne, - Me Mirko Giorgini, avocat (pour O.________ et B.________),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