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PE24.024977 vom 12. Februar 2025</w:t>
      </w:r>
    </w:p>
    <w:p>
      <w:r>
        <w:t>VD Tribunal cantonal, 2025-02-12, FR</w:t>
      </w:r>
    </w:p>
    <w:p>
      <w:r>
        <w:rPr>
          <w:b/>
        </w:rPr>
        <w:t xml:space="preserve">Quelle: </w:t>
      </w:r>
      <w:r>
        <w:t>https://mcp.opencaselaw.ch/entscheid/vd_gerichte_PE24.024977</w:t>
      </w:r>
    </w:p>
    <w:p>
      <w:r>
        <w:t>FR: VD_GERICHTE PE24.024977 du 12 février 2025</w:t>
      </w:r>
    </w:p>
    <w:p>
      <w:r>
        <w:t>IT: VD_GERICHTE PE24.024977 del 12 febbraio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auprès de l’autorité compétente, et par une partie plaignante qui a qualité pour recourir (art. 382 al. 1 CPP), le recours est recevable sous cet angle et sous réserve de ce qui suit (cf. infra consid. 2.3). Les pièces nouvelles produites par le recourant sont recevables (art. 389 al. 3 CPP).</w:t>
      </w:r>
    </w:p>
    <w:p>
      <w:r>
        <w:rPr>
          <w:b/>
        </w:rPr>
        <w:t>E. 2.1</w:t>
      </w:r>
    </w:p>
    <w:p>
      <w:r>
        <w:t>Le recourant invoque une constatation erronée des faits et une violation du droit. Les biens-fonds [...] et [...] seraient des plans d’eau appartenant au domaine public cantonal et n’auraient jamais été transférés à la commune de [...]. Ainsi, les employés communaux auraient agi en violation de l’art. 25 LVGéo-VD (Loi vaudoise sur la géoinformation ; BLV 510.62), qui délimite le domaine public des lacs et des cours d’eau. De plus, il n’existerait aucune disposition légale permettant de qualifier</w:t>
      </w:r>
    </w:p>
    <w:p>
      <w:r>
        <w:t>- 4 - cette zone comme relevant d’une entité autre que du domaine privé riverain et les alluvions s’intégreraient au domaine privé conformément à l’art. 70 b) CDPJ (recte : art. 70 CDPJ). Le plan directeur imposerait de préserver cette zone à l’état naturel pour préserver ses qualités paysagères et écologiques (cf. P. 8) et son défrichement exposerait les visiteurs à des risques importants, notamment des chutes de branches mortes, pouvant rendre le recourant responsable en cas d’accident, ce qui serait un « fardeau injustifié, d’autant plus que ces aménagements ont été réalisés sans [son] consentement préalable ». Enfin, il serait faux de considérer que les employés auraient agi avec l’autorisation de la commune de [...] dès lors que le recourant l’aurait interpellée à ce sujet à trois reprises, sans qu’une réponse ne lui soit donnée, sous-entendant qu’elle n’était pas au courant.</w:t>
      </w:r>
    </w:p>
    <w:p>
      <w:r>
        <w:rPr>
          <w:b/>
        </w:rPr>
        <w:t>E. 2.2.1</w:t>
      </w:r>
    </w:p>
    <w:p>
      <w:r>
        <w:t>et les références citées). Cela étant, le recourant ne conteste pas que la propriété de cette zone pourrait être litigieuse. Il semble même admettre que la zone serait du domaine public cantonal et que les parcelles [...] et [...] ne seraient pas de la propriété de la commune mais du canton de Vaud, tout en déclarant par la suite que ces nouvelles terres seraient des alluvions faisant partie intégrante de son bien-fonds. Quoi qu’il en soit, si l’on considère que le recourant a déposé plainte pour dommages à la propriété, il ressort des déclarations de MM. [...] et [...], employés de la Direction générale de l’environnement du canton de Vaud, que la commune de [...] est habilitée à entretenir ladite « plage » (cf. P. 7), sous- entendant bien qu’il s’agit du domaine public cantonal. Par ailleurs,</w:t>
      </w:r>
    </w:p>
    <w:p>
      <w:r>
        <w:t>- 7 - l’extrait du cadastre désigne comme surface non disponible le bien-fonds [...], soit la « plage » (cf. P. 7/2), et l’art. 70 al. 3 CDPJ semble en faire une zone publique cantonale. Cette question peut toutefois rester ouverte, car même s’il devait être démontré qu’il s’agit d’alluvions au sens de l’art. 70 al. 1 CDPJ, rattachées dès lors au bien-fonds du recourant, l’élément subjectif de l’art. 144 al. 1 CP, soit l’intention de s’en prendre au bien d’autrui, ferait défaut. Enfin, si l’on considère que le recourant se plaint d’une atteinte à l’écosystème et d’une mise en danger du public, il ne démontre pas quelle infraction pénale serait réalisée, ni en quoi il aurait la qualité pour déposer plainte et ensuite recourir. Il résulte de ce qui précède que c’est à bon droit que le Ministère public a considéré qu’aucune infraction n’était réalisée et n’est pas entré en matière sur la plainte du recourant.</w:t>
      </w:r>
    </w:p>
    <w:p>
      <w:r>
        <w:rPr>
          <w:b/>
        </w:rPr>
        <w:t>E. 2.2.2</w:t>
      </w:r>
    </w:p>
    <w:p>
      <w:r>
        <w:t>L’art. 63 al. 1 ch. 2 CDPJ inclut dans le domaine public cantonal, sous réserve des droits privés valablement constitués avant ou après l’entrée en vigueur de la loi, les eaux et leurs lits, tels que définis à l’art. 64 CDPJ. L’art. 64 al. 1 CDPJ précise que sont en particulier dépendants du domaine public les lacs, les cours d’eau et leurs lits (ch. 1), les ports, les enrochements, les grèves, ainsi que les rivages jusqu’à la limite des hautes eaux normales, telles que définies par la loi sur le registre foncier, le cadastre et le système d’information du territoire (ch. 2). L’art. 70 CDPJ prévoit que dans la mesure où ils ne constituent pas des rivages ou des grèves, les atterrissements et accroissements qui se forment naturellement par alluvions au fond riverain d’un lac ou de l’embouchure d’un cours d’eau soumise au reflux d’un lac deviennent parties intégrantes desdits fonds (al. 1). En revanche, les atterrissements et accroissements qui se forment au bord d’un lac et à l’embouchure d’un cours d’eau dans un lac, à l’abri d’un ouvrage construit par l’Etat, une commune ou personne physique ou morale ainsi que les accroissements artificiels (dépôts, remblais, etc.) ne peuvent être revendiqués par les propriétaires des fonds riverains. Ils font partie intégrante du domaine public (al. 3).</w:t>
      </w:r>
    </w:p>
    <w:p>
      <w:r>
        <w:rPr>
          <w:b/>
        </w:rPr>
        <w:t>E. 2.2.3</w:t>
      </w:r>
    </w:p>
    <w:p>
      <w:r>
        <w:t>Selon l’art. 144 al. 1 CP (Code pénal suisse ; RS 311.0), quiconque, sans droit, endommage, détruit ou met hors d’usage une chose appartenant à autrui ou frappée d’un droit d’usage ou d’usufruit au bénéfice d’autrui, est, sur plainte, puni d’une peine privative de liberté de trois ans au plus ou d’une peine pécuniaire. L’atteinte peut consister à détruire ou à altérer la chose, mais elle peut aussi consister en une modification de la chose qui a pour effet</w:t>
      </w:r>
    </w:p>
    <w:p>
      <w:r>
        <w:t>- 6 -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 TF 6B_1047/2022 du 30 juin 2023 consid. 4.5.2).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(ATF 116 IV 143 consid. 2b ; Dupuis et al., [éd.], Code pénal, Petit commentaire, 2e éd., Bâle 2017, n 16 ad art. 144 CP et les références citées ; Corboz, Les principales infractions, 3e éd., Berne 2010, n. 23 ad art. 144 CP).</w:t>
      </w:r>
    </w:p>
    <w:p>
      <w:r>
        <w:rPr>
          <w:b/>
        </w:rPr>
        <w:t>E. 2.3</w:t>
      </w:r>
    </w:p>
    <w:p>
      <w:r>
        <w:t>Dans sa motivation, le recourant conteste l’état de fait retenu par le Ministère public et substitue le sien sans indiquer en quoi les agissements reprochés aux employés communaux constitueraient une infraction pénale. De ce point de vue déjà, on peut douter de la recevabilité de son recours sous l’angle de l’art. 385 al. 1 CPP et de la jurisprudence y relative (TF 7B_587/2023 du 11 septembre 2024 consid.</w:t>
      </w:r>
    </w:p>
    <w:p>
      <w:r>
        <w:rPr>
          <w:b/>
        </w:rPr>
        <w:t>E. 3</w:t>
      </w:r>
    </w:p>
    <w:p>
      <w:r>
        <w:t>En définitive, le recours, manifestement mal fondé, doit être rejeté dans la mesure où il est recevable, sans échange d'écritures (art. 390 al. 2 CPP), et l’ordonnance du 26 novembre 2024 confirmée. Vu le sort du recours, les frais de la procédure, constitués en l’espèce du seul émolument d’arrêt, par 770 fr. (art. 20 al. 1 TFIP [tarif des frais de procédure et indemnités en matière pénale du 28 septembre 2010 ; BLV 312.03.1]), seront mis à la charge du recourant, qui succombe (art. 428 al. 1 CPP). L'avance de frais de 770 fr. versée par le précité à titre de sûretés sera compensée par les frais d'arrêt mis à sa charge (art. 383 al. 1 CPP ; art. 7 TFIP). Par ces motifs, la Chambre des recours pénale prononce : I. Le recours est rejeté dans la mesure où il est recevable. II. L’ordonnance du 26 novembre 2024 est confirmée. III. Les frais d’arrêt, par 770 fr. (sept cent septante francs), sont mis à la charge de Y.________.</w:t>
      </w:r>
    </w:p>
    <w:p>
      <w:r>
        <w:t>- 8 - IV. Le montant de 770 fr. (sept cent septante francs) versé par Y.________ à titre de sûretés est compensé par les frais mis à sa charge au chiffre III ci-dessus. V. L’arrêt est exécutoire. Le président : La greffière : Du Le présent arrêt, dont la rédaction a été approuvée à huis clos, est notifié, par l'envoi d'une copie complète, à : - Y.________,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