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PE24.024571 vom 17. Januar 2025</w:t>
      </w:r>
    </w:p>
    <w:p>
      <w:r>
        <w:t>VD Tribunal cantonal, 2025-01-17, FR</w:t>
      </w:r>
    </w:p>
    <w:p>
      <w:r>
        <w:rPr>
          <w:b/>
        </w:rPr>
        <w:t xml:space="preserve">Quelle: </w:t>
      </w:r>
      <w:r>
        <w:t>https://mcp.opencaselaw.ch/entscheid/vd_gerichte_PE24.024571</w:t>
      </w:r>
    </w:p>
    <w:p>
      <w:r>
        <w:t>FR: VD_GERICHTE PE24.024571 du 17 janvier 2025</w:t>
      </w:r>
    </w:p>
    <w:p>
      <w:r>
        <w:t>IT: VD_GERICHTE PE24.024571 del 17 gennaio 2025</w:t>
      </w:r>
    </w:p>
    <w:p>
      <w:pPr>
        <w:pStyle w:val="Heading2"/>
      </w:pPr>
      <w:r>
        <w:t>Erwägungen</w:t>
      </w:r>
    </w:p>
    <w:p>
      <w:r>
        <w:rPr>
          <w:b/>
        </w:rPr>
        <w:t>E. 28</w:t>
      </w:r>
    </w:p>
    <w:p>
      <w:r>
        <w:t>septembre 2010 ; BLV 312.03.1], par renvoi de l’art. 22 TFIP), seront exceptionnellement laissés à la charge de l’Etat dès lors que, si le recourant a retiré son recours, c’est en raison d’un changement de circonstances – la levée du séquestre – qui rendait celui-ci sans objet pour un motif qui ne lui était pas imputable (art. 428 al. 1 CPP ; TF 1B_308/2021 du 5 juillet 2021 consid. 3 ; TF 1B_123/2021 du 27 avril 2021 consid. 7.2).</w:t>
      </w:r>
    </w:p>
    <w:p>
      <w:r>
        <w:t>- 4 - Par ces motifs, la Chambre des recours pénale prononce : I. Il est pris acte du retrait du recours. II. La cause est rayée du rôle. III. Une indemnité de 1’125 fr. (mille cent vingt-cinq francs) est allouée à Me Pascal Junod, défenseur de choix de N.________, à la charge de l’Etat. IV. Les frais d’arrêt, par 330 fr. (trois cent trente francs), sont laissés à la charge de l’Etat. V. L’arrêt est exécutoire. Le président : Le greffier : Du Le présent arrêt, dont la rédaction a été approuvée à huis clos, est notifié, par l'envoi d'une copie complète, à : - Me Pascal Junod, avocat (pour N.________),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- 5 -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