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PE24.024530 vom 8. Mai 2025</w:t>
      </w:r>
    </w:p>
    <w:p>
      <w:r>
        <w:t>VD Tribunal cantonal, 2025-05-08, FR</w:t>
      </w:r>
    </w:p>
    <w:p>
      <w:r>
        <w:rPr>
          <w:b/>
        </w:rPr>
        <w:t xml:space="preserve">Quelle: </w:t>
      </w:r>
      <w:r>
        <w:t>https://mcp.opencaselaw.ch/entscheid/vd_gerichte_PE24.024530</w:t>
      </w:r>
    </w:p>
    <w:p>
      <w:r>
        <w:t>FR: VD_GERICHTE PE24.024530 du 8 mai 2025</w:t>
      </w:r>
    </w:p>
    <w:p>
      <w:r>
        <w:t>IT: VD_GERICHTE PE24.024530 del 8 maggio 2025</w:t>
      </w:r>
    </w:p>
    <w:p>
      <w:pPr>
        <w:pStyle w:val="Heading2"/>
      </w:pPr>
      <w:r>
        <w:t>Erwägungen</w:t>
      </w:r>
    </w:p>
    <w:p>
      <w:r>
        <w:rPr>
          <w:b/>
        </w:rPr>
        <w:t>E. 4</w:t>
      </w:r>
    </w:p>
    <w:p>
      <w:r>
        <w:t>Le prévenu ne conteste pas, en tant que telle, la peine qui lui a été infligée. Elle doit faire l'objet d'un examen d'office.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t>- 13 -</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4.2</w:t>
      </w:r>
    </w:p>
    <w:p>
      <w:r>
        <w:t>Le premier juge a considéré que la culpabilité de H.________ était importante, pour des actes qui n'étaient de loin pas anodins, même si la vitesse exacte du véhicule n'avait pas pu être mesurée. Il était dangereux de forcer de la sorte un barrage de police. Le prévenu avait fait fi de la loi et des ordres de l'autorité et ne montrait aucune forme de prise de conscience. Il y avait concours d'infractions.</w:t>
      </w:r>
    </w:p>
    <w:p>
      <w:r>
        <w:t>- 14 - Ces considérations sont partagées par la Cour de céans, qui les fait siennes. Les deux délits, qui procèdent d'une intention délictuelle identique, seront chacun sanctionnés de 60 jours-amende, soit 120 jours- amende au total, plus 60 jours-amende issus de la révocation du sursis accordé à la condamnation du 27 janvier 2023, qui se justifie effectivement vu la récidive durant le délai d'épreuve et l'absence totale de prise de conscience. La peine pécuniaire de 180 jours-amende à 30 fr. le jour fixée par le premier juge est, sinon clémente, adéquate et doit être confirmée, de même que les 400 fr. d'amende sanctionnant la contravention.</w:t>
      </w:r>
    </w:p>
    <w:p>
      <w:r>
        <w:rPr>
          <w:b/>
        </w:rPr>
        <w:t>E. 5</w:t>
      </w:r>
    </w:p>
    <w:p>
      <w:r>
        <w:t>Au vu de ce qui précède, l'appel doit être rejeté et le jugement entrepris entièrement confirmé. Vu l’issue de la cause, les frais de la procédure d’appel, par 1'390 fr., constitués en l’espèce des émoluments d’audience et de jugement (art. 21 al. 1 TFIP [tarif des frais de procédure et indemnités en matière pénale du 28 septembre 2010 ; BLV 312.03.1]), seront mis à la charge de H.________,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