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PE24.024431 vom 24. Juli 2025</w:t>
      </w:r>
    </w:p>
    <w:p>
      <w:r>
        <w:t>VD Tribunal cantonal, 2025-07-24, FR</w:t>
      </w:r>
    </w:p>
    <w:p>
      <w:r>
        <w:rPr>
          <w:b/>
        </w:rPr>
        <w:t xml:space="preserve">Quelle: </w:t>
      </w:r>
      <w:r>
        <w:t>https://mcp.opencaselaw.ch/entscheid/vd_gerichte_PE24.024431</w:t>
      </w:r>
    </w:p>
    <w:p>
      <w:r>
        <w:t>FR: VD_GERICHTE PE24.024431 du 24 juillet 2025</w:t>
      </w:r>
    </w:p>
    <w:p>
      <w:r>
        <w:t>IT: VD_GERICHTE PE24.024431 del 24 luglio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(cf. notamment CREP 25 mars 2025/207,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la prévenue qui a la qualité pour recourir (art. 382 CPP) et dans les formes prescrites (art. 385 al. 1 CPP), le recours est recevable.</w:t>
      </w:r>
    </w:p>
    <w:p>
      <w:r>
        <w:rPr>
          <w:b/>
        </w:rPr>
        <w:t>E. 2.1</w:t>
      </w:r>
    </w:p>
    <w:p>
      <w:r>
        <w:t>La recourante invoque une violation de son droit d’être entendue au motif que la motivation de l’ordonnance attaquée serait insuffisante. Elle estime que le Ministère public n’a pas expliqué en quoi la mesure pourrait véritablement être utile et justifier une atteinte à sa liberté personnelle.</w:t>
      </w:r>
    </w:p>
    <w:p>
      <w:r>
        <w:rPr>
          <w:b/>
        </w:rPr>
        <w:t>E. 2.2</w:t>
      </w:r>
    </w:p>
    <w:p>
      <w:r>
        <w:t>;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w:t>
      </w:r>
    </w:p>
    <w:p>
      <w:r>
        <w:t>- 6 - (art. 391 al. 1 et 393 al. 2 CPP ; CREP 25 septembre 2024/683 ; CREP 17 décembre 2024/868 ; CREP 30 octobre 2024/800 ; CREP 3 octobre 2024/694).</w:t>
      </w:r>
    </w:p>
    <w:p>
      <w:r>
        <w:rPr>
          <w:b/>
        </w:rPr>
        <w:t>E. 2.3</w:t>
      </w:r>
    </w:p>
    <w:p>
      <w:r>
        <w:t>En l’espèce, la motivation figurant dans l’ordonnance entreprise permet de comprendre que le procureur a estimé que l’établissement d’un profil ADN pourrait servir à élucider d’autres infractions que celles concernées par l’instruction en cours. On comprend également que la nature des infractions en cause, particulièrement la traite d’êtres humains, et le fait que l’activité s’est déroulée pendant plusieurs années, constituent des indices concrets qui laisseraient présumer que la recourante pourrait avoir commis d’autres crimes ou délits. Par ailleurs, il n’est pas contesté que la recourante est en statut illégal en Suisse depuis des années, de sorte qu’il est probable qu’elle vive du butin d’infractions diverses, à défaut d’être autorisée à exercer une activité lucrative. Le Ministère public a ainsi exposé les indices laissant supposer que la recourante pourrait être impliquée dans d’autres infractions. Il a donc fourni une motivation qui permet de comprendre les motifs qui ont guidé sa décision. Mal fondé, le grief tiré de la violation du droit d’être entendu doit être rejeté.</w:t>
      </w:r>
    </w:p>
    <w:p>
      <w:r>
        <w:rPr>
          <w:b/>
        </w:rPr>
        <w:t>E. 3.1</w:t>
      </w:r>
    </w:p>
    <w:p>
      <w:r>
        <w:t>Sur le fond, la recourante soutient que l’établissement d’un profil ADN ne serait pas nécessaire pour élucider les infractions qui font l’objet de la présente instruction. Elle fait par ailleurs valoir qu’il n’existerait aucun indice sérieux et concret selon lequel elle pourrait être impliquée dans d’autres infractions pénales. Au demeurant, la mesure est inapte à démontrer l’infraction de traite d’êtres humains.</w:t>
      </w:r>
    </w:p>
    <w:p>
      <w:r>
        <w:rPr>
          <w:b/>
        </w:rPr>
        <w:t>E. 3.2</w:t>
      </w:r>
    </w:p>
    <w:p>
      <w:r>
        <w:t>- 7 -</w:t>
      </w:r>
    </w:p>
    <w:p>
      <w:r>
        <w:rPr>
          <w:b/>
        </w:rPr>
        <w:t>E. 3.2.1</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(art. 36 al. 1 à 3 Cst. ; ATF 147 I 372 précité consid. 2.3.3; TF 7B_262/2023 du 2 juillet 2024 consid. 3.2.1). L’art. 197 al. 1 CPP rappelle ces principes, en précisant que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Le soupçon doit préexister à la mesure de contrainte ; le contraire reviendrait à permettre de construire le soupçon et de justifier après coup la mesure de contrainte (« fishing expedition » ; TF 7B_152/2023 du 2 juillet 2024 consid. 2.2.4 et les références citées).</w:t>
      </w:r>
    </w:p>
    <w:p>
      <w:r>
        <w:rPr>
          <w:b/>
        </w:rPr>
        <w:t>E. 3.2.2</w:t>
      </w:r>
    </w:p>
    <w:p>
      <w:r>
        <w:t>Selon l’art. 255 al. 1 let. a CPP dans sa teneur au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Conformément à l’art. 255 al. 1bis CPP, ces mesures peuvent également être ordonnées afin d’élucider des infractions passées, si des indices concrets laissent présumer que le prévenu pourrait avoir commis d’autres crimes ou délits (Message du Conseil fédéral du 28 août 2019 concernant la modification du code de procédure pénale, FF 2019 pp. 6351 ss, spéc. 6405).</w:t>
      </w:r>
    </w:p>
    <w:p>
      <w:r>
        <w:t>- 8 -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Lorsque la mesure vise à élucider des infractions passées,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précité ; TF 7B_152/2023 précité consid. 2.1.3 et les références citées).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 TF 7B_152/2023 précité ; TF 1B_259/2022 du 23 juin 2023 consid. 4.3).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TF 7B_938/2024 du 31 mars 2025 ; ATF 145 IV 263 consid. 3.4; TF 7B_152/2023 du 2 juillet 2024 consid. 2.1.3; TF 1B_230/2022 du 7 septembre 2022 consid. 2.2; TF 1B_409/2021 du 3 janvier 2022 consid. 4.3 et les références, y compris critiques citées). La nouvelle teneur de l’art. 255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w:t>
      </w:r>
    </w:p>
    <w:p>
      <w:r>
        <w:t>- 9 -</w:t>
      </w:r>
    </w:p>
    <w:p>
      <w:r>
        <w:rPr>
          <w:b/>
        </w:rPr>
        <w:t>E. 3.3</w:t>
      </w:r>
    </w:p>
    <w:p>
      <w:r>
        <w:t>En l’occurrence, la recourante ne conteste pas l’existence de soupçons suffisants de la commission d’infractions dans le cadre de l’enquête en cours. S’il est toutefois vrai que son casier judiciaire ne mentionne aucun antécédent et n’indique pas qu’une autre procédure pénale la concernant soit en cours, les infractions en cause, commises en bande depuis 2022, démontrent bien que les intéressés sont précisément bien organisés et agissent de façon préméditée. A cet égard aussi, le fait que la recourante n’ait pas de statut légal en Suisse, et qu’elle ne dispose d’aucune source de revenu licite pour subvenir à ses besoins, depuis des années, constituent autant d’éléments d’appréciation déterminants. Compte tenu de l’ensemble de ces circonstances, il paraît hautement possible que la recourante soit impliquée dans d’autres complexes de fait potentiellement graves. Dans ce contexte, la gravité des accusations à son encontre constitue en elle-même un indice concret de la commission d’autres crimes ou délits par la recourante, malgré son absence d’antécédents (TF 7B_938/2024 déjà cité). C’est donc à raison que le Ministère public a considéré que la mesure pouvait contribuer à élucider des infractions passées. Compte tenu des éléments qui précèdent, l’intérêt public à l’établissement du profil ADN pour permettre l’élucidation de crimes ou de délits d’une certaine gravité l’emporte sans conteste sur l’intérêt privé de la recourante au respect de sa liberté personnelle et de sa vie privée. La mesure est par ailleurs la seule qui apparaît apte à atteindre le même but. Le principe de la proportionnalité est ainsi respecté.</w:t>
      </w:r>
    </w:p>
    <w:p>
      <w:r>
        <w:rPr>
          <w:b/>
        </w:rPr>
        <w:t>E. 4</w:t>
      </w:r>
    </w:p>
    <w:p>
      <w:r>
        <w:t>En définitive, le recours doit être rejeté et l’ordonnance attaquée confirmée. Les frais de la procédure de recours, constitués en l'espèce de l'émolument d'arrêt, par 1’100 fr. (art. 20 al. 1 TFIP [tarif des frais de procédure et indemnités en matière pénale du 28 septembre 2010 ; BLV 312.03.1]), et de l’indemnité due au défenseur d'office (art. 422 al. 1 et 2</w:t>
      </w:r>
    </w:p>
    <w:p>
      <w:r>
        <w:t>- 10 - let. a CPP), fixée à 360 fr. sur la base d’une durée d’activité nécessaire d’avocat estimée, sur la base du mémoire de recours, à 2h00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25, soit à 396 fr. au total, en chiffres arrondis, seront mis à la charge de la recourante, qui succombe (art. 428 al. 1 CPP). Le remboursement à l’Etat de l’indemnité allouée au défenseur d’office de la recourante ne sera toutefois exigible que pour autant que la situation financière cette dernière le permette (art. 135 al. 4 let. a CPP). Par ces motifs, la Chambre des recours pénale prononce : I. Le recours est rejeté. II. L’ordonnance du 3 juillet 2025 est confirmée. III. L’indemnité allouée au défenseur d’office de F.________ est fixée à 396 fr. (trois cent nonante-six francs). IV. Les frais d’arrêt, par 1’100 fr. (mille cent francs), ainsi que l’indemnité due au défenseur d’office de F.________, par 396 fr. (trois cent nonante-six francs), sont mis à la charge de ce dernier. V. Le remboursement à l’Etat de l’indemnité allouée au chiffre III ci-dessus ne sera exigible que pour autant que la situation financière de F.________ le permette.</w:t>
      </w:r>
    </w:p>
    <w:p>
      <w:r>
        <w:t>- 11 - VI. L’arrêt est exécutoire. Le président : La greffière : Du Le présent arrêt, dont la rédaction a été approuvée à huis clos, est notifié, par l'envoi d'une copie complète, à : - Me Karine Stewart Harris, avocate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