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PE24.024413 vom 17. Mai 2025</w:t>
      </w:r>
    </w:p>
    <w:p>
      <w:r>
        <w:t>VD Tribunal cantonal, 2025-05-17, FR</w:t>
      </w:r>
    </w:p>
    <w:p>
      <w:r>
        <w:rPr>
          <w:b/>
        </w:rPr>
        <w:t xml:space="preserve">Quelle: </w:t>
      </w:r>
      <w:r>
        <w:t>https://mcp.opencaselaw.ch/entscheid/vd_gerichte_PE24.024413</w:t>
      </w:r>
    </w:p>
    <w:p>
      <w:r>
        <w:t>FR: VD_GERICHTE PE24.024413 du 17 mai 2025</w:t>
      </w:r>
    </w:p>
    <w:p>
      <w:r>
        <w:t>IT: VD_GERICHTE PE24.024413 del 17 maggio 2025</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w:t>
      </w:r>
    </w:p>
    <w:p>
      <w:r>
        <w:t>- 3 - Code de procédure pénale suisse du 19 mai 2009 ; BLV 312.01] ; art. 80 LOJV [Loi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de G.________ est recevable.</w:t>
      </w:r>
    </w:p>
    <w:p>
      <w:r>
        <w:rPr>
          <w:b/>
        </w:rPr>
        <w:t>E. 2.1</w:t>
      </w:r>
    </w:p>
    <w:p>
      <w:r>
        <w:t>Dans un premier moyen, le recourant invoque la violation de son droit d’être entendu. Il reproche au Ministère public de ne pas avoir indiqué les motifs pour lesquels il avait considéré que l’intensité du caractère désagréable des termes utilisés par A.________ ne permettait pas de retenir qu’il s’agissait de la formulation d’un jugement de valeur offensant et mettant en doute son honnêteté, voire sa moralité.</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Dès lors que l'on peut discerner les motifs qui ont guidé la décision de l'autorité, le droit à une décision motivée est respecté, même si la motivation présentée est erronée (ATF 141 V 557 consid. 3.2.1 ; TF 6B_1460/2022 du 16 janvier 2024 consid. 2.1 ; TF 6B_925/2022 du 29</w:t>
      </w:r>
    </w:p>
    <w:p>
      <w:r>
        <w:t>- 4 - mars 2023 consid. 3.1). La motivation peut d'ailleurs être implicite et résulter des différents considérants de la décision (ATF 141 V 557 précité ; TF 7B_471/2023 précité).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TF 6B_646/2022 du 18 janvier 2023 consid. 3.2.2 ; TF 6B_1135/2021 du 9 mai 2022 consid. 1.1). La Chambre des recours pénale dispose d’un tel pouvoir d’examen permettant le cas échéant de guérir le vice procédural invoqué (art. 391 al. 1 et 393 al. 2 CPP ; TF 1B_143/2022 du 30 août 2022 consid. 2 ; CREP 28 août 2024/614 ; CREP 22 septembre 2023/756 ; CREP 1er mars 2023/104).</w:t>
      </w:r>
    </w:p>
    <w:p>
      <w:r>
        <w:rPr>
          <w:b/>
        </w:rPr>
        <w:t>E. 2.3</w:t>
      </w:r>
    </w:p>
    <w:p>
      <w:r>
        <w:t>En l’espèce, la motivation de l’ordonnance est certes succincte (cf. let. B des faits exposés ci-avant). Elle permet néanmoins de comprendre le motif pour lequel le Ministère public a exclu la possible commission de l’infraction d’injure. Le recourant a donc pu contester cette appréciation en connaissance de cause et on ne saurait admettre une violation de son droit d’être entendu. De toute manière, l’autorité de recours dispose d’un pouvoir d’examen complet, de sorte qu’un éventuel vice serait quoi qu’il en soit réparé en deuxième instance.</w:t>
      </w:r>
    </w:p>
    <w:p>
      <w:r>
        <w:rPr>
          <w:b/>
        </w:rPr>
        <w:t>E. 3.1</w:t>
      </w:r>
    </w:p>
    <w:p>
      <w:r>
        <w:t>Sur le fond, le recourant conteste l’ordonnance uniquement sous l’angle de l’infraction d’injure au sens de l’art. 177 CP (Code pénal suisse du 21 décembre 1937 ; RS 311.0). Il soutient en particulier qu’en lui reprochant d’avoir remis sa « fameuse remarque ordurière contre Mme [...] », qui aurait pour signification que l’intéressé dit ou écrit des choses</w:t>
      </w:r>
    </w:p>
    <w:p>
      <w:r>
        <w:t>- 5 - sales et obscènes, A.________ aurait mis en doute sa moralité. Ces propos seraient ainsi d’une gravité supérieure à un simple caractère désagréable et outrepasseraient ce qui est acceptable. Selon lui, il était en l’état contraire au droit de retenir comme certain que l’état de fait litigieux ne constituait pas une infraction et une instruction se justifiait pour permettre à tout le moins à l’auteur du courriel de livrer ses explications.</w:t>
      </w:r>
    </w:p>
    <w:p>
      <w:r>
        <w:rPr>
          <w:b/>
        </w:rPr>
        <w:t>E. 3.2.1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w:t>
      </w:r>
    </w:p>
    <w:p>
      <w:r>
        <w:t>- 6 -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3.2.2</w:t>
      </w:r>
    </w:p>
    <w:p>
      <w:r>
        <w:t>Se rend coupable d’injure quiconque aura, par la parole, l’écriture, l’image, le geste ou par des voies de fait, attaqué autrui dans son honneur (art. 177 al 1 CP). L'honneur que protège cette disposition est le sentiment et la réputation d'être une personne honnête et respectable, c'est-à-dire le droit de ne pas être méprisé en tant qu'être humain (ATF 132 IV 112 consid. 2.1; TF 6B_1052/2023 du 4 mars 2024 consid. 1.1 et les références citées).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 TF 6B_777/2022 du 16 mars 2023 consid. 2.2 et les références citées). Pour apprécier si une déclaration est attentatoire à l'honneur, il faut procéder à une interprétation objective selon le sens que le destinataire non prévenu devait, dans les circonstances d'espèce, lui attribuer (ATF 133 IV 308 consid. 8.5.1 ; ATF 128 IV 53 consid. 1a ; ATF 119 IV 44 consid. 2a). Sur le plan subjectif, l'injure suppose l'intention. L'auteur doit vouloir ou accepter que son message soit attentatoire à l'honneur et qu'il soit communiqué à la victime (ATF 117 IV 270 consid. 2b).</w:t>
      </w:r>
    </w:p>
    <w:p>
      <w:r>
        <w:rPr>
          <w:b/>
        </w:rPr>
        <w:t>E. 3.3</w:t>
      </w:r>
    </w:p>
    <w:p>
      <w:r>
        <w:t>En l’espèce, l’expression incriminée est intervenue directement auprès du plaignant puisqu’elle figurait dans un courriel qui lui était adressé. A.________ a certes vertement critiqué le plaignant pour avoir formulé une « remarque ordurière contre Mme [...] », mais il faut constater qu’il l’a pas traité directement d’« ordure ». Nous ne sommes ainsi pas en présence d’une atteinte à l’honneur directe. Or, reprocher à</w:t>
      </w:r>
    </w:p>
    <w:p>
      <w:r>
        <w:t>- 7 - quelqu’un d’avoir utilisé un terme grossier, sale ou obscène (synonymes de l’adjectif ordurier : Petit Robert 2025) à l’égard d’un tiers ne paraît pas objectivement attentatoire à l'honneur au sens restrictif de la jurisprudence, le plaignant n’ayant pas été confronté à une réelle marque de mépris, mais plutôt à une forte remontrance pour avoir utilisé une expression que A.________ a considéré comme totalement inadaptée à l’égard d’une tierce personne. Dans ce contexte particulier, il faut admettre, à ce stade déjà, que les conditions de l’infraction d’injure au sens de l’art. 177 CP ne sont pas remplies. L’interprétation objective des propos exigée par cette disposition pénale rend l’audition de A.________ inutile, puisque toute explication complémentaire apportée par celui-ci serait sans pertinence. On relèvera encore qu’il n’apparaît pas que d’autres personnes aient reçu ce message ; le recourant ne le soutient d’ailleurs pas. Dès lors que l’on ne se trouve pas dans le cas de figure où un auteur communique à autrui un fait attentatoire à l’honneur d’un tiers, c’est à juste titre que le Ministère public a limité son examen à l’injure, seule infraction susceptible d’entrer en considération ici. Le recourant invoque d’ailleurs à ce stade uniquement cette infraction et non à celles de calomnie et de diffamation. Au demeurant, pour les motifs exposés ci-dessus, les termes utilisés ne revêtent objectivement pas la gravité exigée par la jurisprudence pour rendre le recourant méprisable. En définitive, il apparaît d’emblée qu’aucun acte d’enquête ne pourra apporter la preuve de la commission de l’infraction d’injure par A.________. L’appréciation du Ministère public sur ce point doit donc être confirmée.</w:t>
      </w:r>
    </w:p>
    <w:p>
      <w:r>
        <w:rPr>
          <w:b/>
        </w:rPr>
        <w:t>E. 4</w:t>
      </w:r>
    </w:p>
    <w:p>
      <w:r>
        <w:t>Au vu de ce qui précède, le recours doit être rejeté et l’ordonnance du 19 novembre 2024 confirmée. Vu le sort du recours, les frais de la procédure, constitués en l’espèce du seul émolument d'arrêt, par 770 fr. (art. 20 al. 1 TFIP [tarif des frais de procédure et indemnités en matière pénale du 28 septembre 2010</w:t>
      </w:r>
    </w:p>
    <w:p>
      <w:r>
        <w:t>- 8 - ; BLV 312.03.1]), seront mis à la charge du recourant, qui succombe (art. 428 al. 1 CPP). Ces frais seront compensés avec le montant de 770 fr. que le recourant a versé à titre de sûretés (art. 383 al. 1 CPP et 7 TFIP). Par ces motifs, la Chambre des recours pénale prononce : I. Le recours est rejeté. II. L’ordonnance du 19 novembre 2024 est confirmée. III. Les frais d’arrêt, par 770 fr. (sept cent septante francs), sont mis à la charge de G.________. IV. Les frais mis à la charge du recourant au chiffre III ci-dessus sont compensés avec le montant de 770 fr. (sept cent septante francs) déjà versé par celui-ci à titre de sûretés. V. L’arrêt est exécutoire. Le président : La greffière : Du Le présent arrêt, dont la rédaction a été approuvée à huis clos, est notifié, par l'envoi d'une copie complète, à : - Me Benjamin Schwab (pour G.________), - Ministère public central, et communiqué à : - Mme la Procureure de l’arrondissement de l’Est vaudois, par l’envoi de photocopies.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