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PE24.024254 vom 17. Februar 2025</w:t>
      </w:r>
    </w:p>
    <w:p>
      <w:r>
        <w:t>VD Tribunal cantonal, 2025-02-17, FR</w:t>
      </w:r>
    </w:p>
    <w:p>
      <w:r>
        <w:rPr>
          <w:b/>
        </w:rPr>
        <w:t xml:space="preserve">Quelle: </w:t>
      </w:r>
      <w:r>
        <w:t>https://mcp.opencaselaw.ch/entscheid/vd_gerichte_PE24.024254</w:t>
      </w:r>
    </w:p>
    <w:p>
      <w:r>
        <w:t>FR: VD_GERICHTE PE24.024254 du 17 février 2025</w:t>
      </w:r>
    </w:p>
    <w:p>
      <w:r>
        <w:t>IT: VD_GERICHTE PE24.024254 del 17 febbraio 2025</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w:t>
      </w:r>
    </w:p>
    <w:p>
      <w:r>
        <w:t>- 6 -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Le délai de dix jours pour recourir – qui ne peut être prolongé (art. 89 al. 1 CPP) –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w:t>
      </w:r>
    </w:p>
    <w:p>
      <w:r>
        <w:rPr>
          <w:b/>
        </w:rPr>
        <w:t>E. 1.2</w:t>
      </w:r>
    </w:p>
    <w:p>
      <w:r>
        <w:t>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Juge unique CREP 30 décembre 2024/938 consid. 6.1). Dans le Canton de Vaud, la langue de la procédure est le français (art. 16 LVCPP ; TF 7B_482/2024 du 21 mai 2024 consid. 2.2.3).</w:t>
      </w:r>
    </w:p>
    <w:p>
      <w:r>
        <w:rPr>
          <w:b/>
        </w:rPr>
        <w:t>E. 1.3</w:t>
      </w:r>
    </w:p>
    <w:p>
      <w:r>
        <w:t>Aux termes de l’art. 110 al. 1 CPP, les parties peuvent déposer des requêtes écrites ou orales, les requêtes orales étant consignées au</w:t>
      </w:r>
    </w:p>
    <w:p>
      <w:r>
        <w:t>- 7 - procès-verbal ; les requêtes écrites doivent être datées et signées. Selon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1.4</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5 février 2025/79 consid. 1.2).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w:t>
      </w:r>
    </w:p>
    <w:p>
      <w:r>
        <w:t>- 8 - l'autorité de recours n'entre pas en matière. Cette disposition ne permet toutefois pas de remédier à un défaut de motivation dans le mémoire en question (TF 7B_587/2023 précité ; TF 7B_51/2024 du 25 avril 2024 consid. 2.2.2 ; TF 6B_1447/2022 du 14 mars 2023 consid. 1.1).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(art. 89 al. 1 CPP) (TF 7B_587/2023 précité ; TF 7B_51/2024 précité ; TF 1B_318/2021 du 25 janvier 2022 consid. 4.1). La jurisprudence fédérale précise que 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(ATF 134 II 244 consid. 2.4.2 ; TF 7B_587/2023 précité consid. 2.2.2 ; TF 7B_355/2023 du 30 juillet 2024 consid. 2.2.2 et les arrêts cités).</w:t>
      </w:r>
    </w:p>
    <w:p>
      <w:r>
        <w:rPr>
          <w:b/>
        </w:rPr>
        <w:t>E. 2</w:t>
      </w:r>
    </w:p>
    <w:p>
      <w:r>
        <w:t>Il y a tout d’abord lieu de relever que la lettre datée du 6 février 2025 adressée par le prévenu à son avocate – outre qu’elle n’est pas signée et ne respecte dès lors pas les exigences de la forme écrite – n’est destinée qu’à celle-ci et ne comprend que des questions posées à son défenseur d’office, de sorte qu’elle ne saurait être considérée comme un recours déposé valablement. Quant au courrier manuscrit du 10 février 2025 – qui seul peut être considéré comme un recours en l’espèce –, il a été déposé en temps utile auprès de la direction d’un établissement carcéral, par le condamné qui a qualité pour recourir (cf. art. 382 al. 1 CPP). Cet acte, qui est rédigé en langue espagnole, est toutefois également irrecevable, faute d’avoir</w:t>
      </w:r>
    </w:p>
    <w:p>
      <w:r>
        <w:t>- 9 - fait l’objet d’une traduction en français. En effet, dès lors que le défenseur du recourant – qui connaît les exigences de forme d’un recours – a été interpellé et que celui-ci s’est déterminé, il aurait pu et dû d’emblée corriger le vice ; il ne se justifie dès lors pas d’impartir à E.________ un délai supplémentaire pour faire traduire son acte, ce d’autant moins que le recours doit de toute manière être déclaré irrecevable, faute de satisfaire aux exigences de motivation de l’art. 385 al. 1 CPP. En effet, dans son écrit du 10 février 2025, le recourant expose en substance que la vie en prison est difficile et qu’il ne s’y sent pas bien, craignant pour sa vie notamment en raison des séquelles d’un grave accident qu’il a subi. Il demande de transmettre ces informations au tribunal et sollicite un rapport médical et psychologique. Dans la mesure où cet acte ne contient ni conclusion, ni argumentation relative aux conditions des art. 221, 227 ou 237 CPP sur laquelle le recourant pourrait prétendre se fonder pour faire modifier l’ordonnance entreprise en sa faveur, il ne remplit pas les exigences posées à l’art. 385 al. 1 CPP. Un tel défaut de motivation ne saurait justifier qu’un délai supplémentaire soit imparti au recourant pour compléter son acte en application de l’art. 385 al. 2 CPP, cette disposition n’ayant pas pour but de permettre de pallier un défaut de motivation. Un tel constat ne relève pas du formalisme excessif.</w:t>
      </w:r>
    </w:p>
    <w:p>
      <w:r>
        <w:rPr>
          <w:b/>
        </w:rPr>
        <w:t>E. 3</w:t>
      </w:r>
    </w:p>
    <w:p>
      <w:r>
        <w:t>Au vu de ce qui précède, le recours doit être déclaré irrecevable, sans autre échange d’écritures (art. 390 al. 2 CPP). Les frais de la procédure de recours, constitués en l’espèce du seul émolument d’arrêt (art. 422 al. 1 CPP), par 990 fr. (art. 20 al. 1 TFIP [tarif des frais de procédure et indemnités en matière pénale du 28 septembre 2010 ; BLV 312.03.1]), seront exceptionnellement laissés à la charge de l’Etat.</w:t>
      </w:r>
    </w:p>
    <w:p>
      <w:r>
        <w:t>- 10 - Par ces motifs, la Chambre des recours pénale prononce : I. Le recours est irrecevable. II. Les frais d’arrêt, par 990 fr. (neuf cent nonante francs), sont laissés à la charge de l’Etat. III. L’arrêt est exécutoire. Le président : La greffière : Du Le présent arrêt, dont la rédaction a été approuvée à huis clos, est notifié, par l'envoi d'une copie complète, à : - M. E.________, - Me Irina Brodard-Lopez, avocate (pour E.________), - Ministère public central, et communiqué à : - Mme la Présidente du Tribunal des mesures de contrainte, - Mme la Procureure du Ministère public cantonal Strada, - Direction de la prison du Bois-Mermet,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