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PE24.024245 vom 6. Januar 2025</w:t>
      </w:r>
    </w:p>
    <w:p>
      <w:r>
        <w:t>VD Tribunal cantonal, 2025-01-06, FR</w:t>
      </w:r>
    </w:p>
    <w:p>
      <w:r>
        <w:rPr>
          <w:b/>
        </w:rPr>
        <w:t xml:space="preserve">Quelle: </w:t>
      </w:r>
      <w:r>
        <w:t>https://mcp.opencaselaw.ch/entscheid/vd_gerichte_PE24.024245</w:t>
      </w:r>
    </w:p>
    <w:p>
      <w:r>
        <w:t>FR: VD_GERICHTE PE24.024245 du 6 janvier 2025</w:t>
      </w:r>
    </w:p>
    <w:p>
      <w:r>
        <w:t>IT: VD_GERICHTE PE24.024245 del 6 gennaio 2025</w:t>
      </w:r>
    </w:p>
    <w:p>
      <w:pPr>
        <w:pStyle w:val="Heading2"/>
      </w:pPr>
      <w:r>
        <w:t>Erwägungen</w:t>
      </w:r>
    </w:p>
    <w:p>
      <w:r>
        <w:rPr>
          <w:b/>
        </w:rPr>
        <w:t>E. 1</w:t>
      </w:r>
    </w:p>
    <w:p>
      <w:r>
        <w:t>CPP). A teneur de l’art. 90 CPP, les délais fixés en jours commencent à courir le jour qui suit leur notification ou l'évènement qui les déclenche (al. 1) ; si le dernier jour du délai est un samedi, un dimanche ou un jour férié selon le droit fédéral ou cantonal, le délai expire le premier jour ouvrable qui suit (al. 2, 1ere phrase). D’après l’art. 91 CPP, le délai est réputé observé si l'acte de procédure est accompli auprès de l'autorité compétente au plus tard le dernier jour du délai (al. 1) ; les écrits doivent être remis au plus tard le dernier jour du délai à l'autorité pénale, à la Poste suisse, à une représentation consulaire ou diplomatique suisse ou, s'agissant de personnes détenues, à la direction de l'établissement carcéral (al. 2).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et les références citées ; TF 6B_14/2022 du 6 juin 2023 consid. 1.2.3 ; CREP du 25 octobre 2024 consid. 2.2.1).</w:t>
      </w:r>
    </w:p>
    <w:p>
      <w:r>
        <w:t>- 5 -</w:t>
      </w:r>
    </w:p>
    <w:p>
      <w:r>
        <w:rPr>
          <w:b/>
        </w:rPr>
        <w:t>E. 1.1.1</w:t>
      </w:r>
    </w:p>
    <w:p>
      <w:r>
        <w:t>Aux termes de l’art. 393 al. 1 let. a CPP (Code de procédure pénale suisse du 5 octobre 2007 ; RS 312.0), le recours est recevable contre les décisions et les actes de procédure rendues par les autorités pénales compétentes en matière de contraventions, en l’occurrence par le Président de la Commission de Police Lavaux (art. 3 al. 2 LContr [loi sur les contraventions du 19 mai 2009 ; BLV 312.11]). Le recours doit être adressé par écrit, dans un délai de dix jours dès la notification de la décision attaquée (art. 384 let. b et 396 al. 1 CPP par renvoi de l’art. 10 al. LContr), à l’autorité de recours qui, dans le canton de Vaud, est la Chambre des recours pénale du Tribunal cantonal (art. 13 LVCPP [loi vaudoise d’introduction du Code de procédure pénale</w:t>
      </w:r>
    </w:p>
    <w:p>
      <w:r>
        <w:t>- 4 - suisse du 19 mai 2009 ; BLV 312.01] ; art. 80 LOJV [loi d'organisation judiciaire du 12 septembre 1979 ; BLV 173.01]).</w:t>
      </w:r>
    </w:p>
    <w:p>
      <w:r>
        <w:rPr>
          <w:b/>
        </w:rPr>
        <w:t>E. 1.1.2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En l’occurrence, la valeur litigieuse est de 420 fr. (7 x 60 fr.). Le présent recours est donc de la compétence d’un juge unique.</w:t>
      </w:r>
    </w:p>
    <w:p>
      <w:r>
        <w:rPr>
          <w:b/>
        </w:rPr>
        <w:t>E. 1.2</w:t>
      </w:r>
    </w:p>
    <w:p>
      <w:r>
        <w:t>Les délais fixés par la loi ne peuvent être prolongés (art. 89 al.</w:t>
      </w:r>
    </w:p>
    <w:p>
      <w:r>
        <w:rPr>
          <w:b/>
        </w:rPr>
        <w:t>E. 1.3</w:t>
      </w:r>
    </w:p>
    <w:p>
      <w:r>
        <w:t>En l’espèce, la recourante, qui a qualité pour recourir (art. 382 al. 1 CPP), prétend avoir reçu les ordonnances de classement le 30 octobre 2024. En l’absence de preuve du contraire, il convient, conformément à la jurisprudence précitée, de se fonder sur ses déclarations. Partant, déposé le 1er novembre 2024, le recours de Y.________SA est recevable sous cet angle.</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La motivation d'un acte de recours doit être entièrement contenue dans l'acte lui-même et ne saurait être complétée ultérieurement. La motivation doit être complète, si bien qu'un simple renvoi à d'autres écritures n'est pas suffisant (TF 7B_587/2023 du 11 septembre 2024 consid. 2.2.1 ; TF 7B_51/2024 du 25 avril 2024 consid. 2.2.2 ; TF 6B_1447/2022 du 14 mars 2023 consid. 1.1 ; cf. en lien avec l’art. 42 LTF [loi sur le Tribunal fédéral du 17 juin 2005 ; RS 173.110], ATF 140 III 115 consid. 2).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7B_587/2023 précité).</w:t>
      </w:r>
    </w:p>
    <w:p>
      <w:r>
        <w:rPr>
          <w:b/>
        </w:rPr>
        <w:t>E. 2.2</w:t>
      </w:r>
    </w:p>
    <w:p>
      <w:r>
        <w:t>Dans un seul acte, la recourante conteste la mise à sa charge des frais de justice dans chacune des ordonnances de classement.</w:t>
      </w:r>
    </w:p>
    <w:p>
      <w:r>
        <w:t>- 6 - S’agissant de sept décisions différentes, on peut se demander si cette manière de procéder est recevable. La question peut toutefois rester ouverte pour les raisons qui suivent. En effet, la recourante se contente de mentionner qu’elle conteste la mise à sa charge des frais de la procédure sans indiquer précisément les motifs qui commanderaient une autre décision. Sa motivation n’est étayée ni en fait, ni en droit. Elle se borne à indiquer qu’elle ignorait qu’il lui fallait une « autorisation formelle de la copropriété (…) pour pouvoir donner suite aux dénonciations », alors même que la Commission de police Lavaux l’avait interpellée à ce sujet à plusieurs reprises (cf. consid. A supra). Comme elle ne discute pas le bienfondé de ces ordonnances, il faut considérer que son recours est irrecevable, faute de motivation. Un tel vice ne saurait justifier qu’un délai supplémentaire lui soit fixé pour compléter son acte en application de l’art. 385 al. 2 CPP.</w:t>
      </w:r>
    </w:p>
    <w:p>
      <w:r>
        <w:rPr>
          <w:b/>
        </w:rPr>
        <w:t>E. 3</w:t>
      </w:r>
    </w:p>
    <w:p>
      <w:r>
        <w:t>Il résulte de ce qui précède que le recours doit être déclaré irrecevable. Les frais de la procédure de recours, par 540 fr. (art. 20 al. 1 TFIP [tarif des frais de procédure et indemnités en matière pénale du 28 septembre 2010 ; BLV 312.03.1]), seront mis à la charge de la recourante qui succombe (art. 428 al. 1 CPP). L'avance de frais de 770 fr. versée par la précitée à titre de sûretés sera compensée par les frais d'arrêt mis à sa charge (art. 383 al. 1 CPP ; art. 7 TFIP), et le solde en sa faveur, par 230 fr., lui sera restitué. Par ces motifs, la juge unique prononce : I. Le recours est irrecevable. II. Les frais d’arrêt, par 540 fr. (cinq cent quarante francs) sont mis à la charge de Y.________SA.</w:t>
      </w:r>
    </w:p>
    <w:p>
      <w:r>
        <w:t>- 7 - III. Le montant de 770 fr. (sept cent septante francs) versé par Y.________SA à titre de sûretés est compensé par les frais mis à sa charge au chiffre II ci-dessus, et le solde en sa faveur, par 230 fr. (deux cent trente francs), lui est restitué. IV. L’arrêt est exécutoire. La juge unique : La greffière : Du Le présent arrêt, dont la rédaction a été approuvée à huis clos, est notifié, par l'envoi d'une copie complète, à : - Y.________SA, - Ministère public central, et communiqué à : - M. le Président de la Commission de Police Lavaux, - 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