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PE24.024228 vom 4. April 2025</w:t>
      </w:r>
    </w:p>
    <w:p>
      <w:r>
        <w:t>VD Tribunal cantonal, 2025-04-04, FR</w:t>
      </w:r>
    </w:p>
    <w:p>
      <w:r>
        <w:rPr>
          <w:b/>
        </w:rPr>
        <w:t xml:space="preserve">Quelle: </w:t>
      </w:r>
      <w:r>
        <w:t>https://mcp.opencaselaw.ch/entscheid/vd_gerichte_PE24.024228</w:t>
      </w:r>
    </w:p>
    <w:p>
      <w:r>
        <w:t>FR: VD_GERICHTE PE24.024228 du 4 avril 2025</w:t>
      </w:r>
    </w:p>
    <w:p>
      <w:r>
        <w:t>IT: VD_GERICHTE PE24.024228 del 4 aprile 2025</w:t>
      </w:r>
    </w:p>
    <w:p>
      <w:pPr>
        <w:pStyle w:val="Heading2"/>
      </w:pPr>
      <w:r>
        <w:t>Erwägungen</w:t>
      </w:r>
    </w:p>
    <w:p>
      <w:r>
        <w:rPr>
          <w:b/>
        </w:rPr>
        <w:t>E. 1.1.1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1.1.2</w:t>
      </w:r>
    </w:p>
    <w:p>
      <w:r>
        <w:t>En l'espèce, le recours a été interjeté en temps utile auprès de l'autorité compétente par une partie qui a qualité pour recourir (art. 382 al. 1 CPP). Il est recevable sous réserve de ce qui suit (cf. consid. 1.2).</w:t>
      </w:r>
    </w:p>
    <w:p>
      <w:r>
        <w:t>- 4 - Pour ce qui est du courrier du 11 avril 2025, valant complément de recours, celui-ci a été déposé hors du délai de recours et est irrecevable.</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consid. 2.2.1 ; CREP 27 mars 2025/209 consid. 1.2).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w:t>
      </w:r>
    </w:p>
    <w:p>
      <w:r>
        <w:t>- 5 - toutefois pas de remédier à un défaut de motivation dans le mémoire en question (TF 7B_587/2023 précité consid. 2.2.1 et la référence citée).</w:t>
      </w:r>
    </w:p>
    <w:p>
      <w:r>
        <w:rPr>
          <w:b/>
        </w:rPr>
        <w:t>E. 1.2.2</w:t>
      </w:r>
    </w:p>
    <w:p>
      <w:r>
        <w:t>En l’espèce, en semblant soutenir que le non-respect du délai de dépôt de plainte soulevé dans l’ordonnance du 28 mai 2019 serait en réalité imputable à l’[...], la recourante cherche à revenir sur une décision contre laquelle elle n’a pas fait recours. Elle n’expose pas en quoi le raisonnement du Ministère public serait erroné s’agissant du caractère définitif de cette ordonnance, pas plus qu’elle n’explique la raison pour laquelle une révision de celle-ci serait justifiée. S’agissant de l’absence de détails sur les nouveaux propos qu’elle reproche à S.________, soulevée dans l’ordonnance entreprise, la recourante se réfère principalement aux faits ayant donné lieu à l’ordonnance du 29 mai 2019 et se contente d’ajouter que le comportement diffamatoire aurait continué, en renvoyant aux annexes de son courrier du 19 octobre 2024, sans préciser les propos auxquels elle fait référence. Enfin, elle ne critique pas non plus le raisonnement du Ministère public sur la question de son incompétence faute de for en Suisse, autrement qu’en se référant à son droit fondamental à l’honneur. Partant, le recours n’apparaît pas remplir les conditions de motivation de l’art. 385 al. 1 CPP. Cette question peut cependant rester ouverte au regard de ce qui suit.</w:t>
      </w:r>
    </w:p>
    <w:p>
      <w:r>
        <w:rPr>
          <w:b/>
        </w:rPr>
        <w:t>E. 2.1</w:t>
      </w:r>
    </w:p>
    <w:p>
      <w:r>
        <w:t>Les délits contre l'honneur sont des délits de mise en danger abstrait. Ils sont consommés dès qu'un tiers prend connaissance de la déclaration portant atteinte à l'honneur (ATF 125 IV 177 consid. 3a ; ATF 103 IV 22 consid. 7). La réception ou la perception du contenu en question caractérisent par conséquent le résultat typique inhérent à la consommation de l'infraction de communication (Alexandre Dyens, Territorialité et ubiquité en droit pénal international suisse, Étude critique des art. 3 et 8 CPS - Enjeux théoriques et pratiques, en particulier en matière de criminalité économique et financière, thèse, Lausanne 2014, n° 686 p. 212).</w:t>
      </w:r>
    </w:p>
    <w:p>
      <w:r>
        <w:t>- 6 - Aux termes de l'art. 3 al. 1 CP, le CP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Il s'impose pour des motifs d'équité d'une part et d'économie de procédure d'autre part, car c'est au lieu de commission de l'infraction que l'administration des preuves est susceptible de fournir les résultats les plus probants.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(ATF 144 IV 265 consid. 2.3.1 ; TF 6B_1292/2023 du 20 novembre 2024 consid. 9.1.1 et les références citées).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consid. 3 c à g). Cette définition stricte a toutefois été tempérée dans différents arrêts subséquents (ATF 141 IV 336 consid. 1.1 et 1.2 en matière de falsification de timbres officiels de valeur ; ATF 124 IV 241 consid. 4c et d en matière d'abus de confiance ; ATF 125 IV 177 consid. 2 et 3 en matière d'infraction contre l'honneur ; sur l'entier de la question voir également ; ATF 128 IV 145 consid. 2e ; TF 6B_1292/2023 précité consid 9.1.3 et les références citées). Dans l'ATF 125 IV 177, qui concernait l'envoi depuis l'Allemagne de courriers au contenu diffamatoire à l'ensemble des membres d'une association, dont deux résidaient en Suisse, le Tribunal fédéral a admis la compétence des autorités suisses au motif que les écrits attentatoires avaient été adressés de façon ciblée, directe et individuellement déterminée à au moins deux personnes qui en avaient pris connaissance en Suisse. Dans ce contexte, la prise de connaissance des propos en</w:t>
      </w:r>
    </w:p>
    <w:p>
      <w:r>
        <w:t>- 7 - Suisse constituait un point de rattachement suffisant pour admettre un résultat au sens de l'art. 7 al. 1er aCP et ainsi reconnaître la compétence des autorités suisses (ATF 125 IV 177 consid. 3, cité in : ATF 128 IV 145 consid. 2e ; dans le même sens : ATF 102 IV 35 consid. 2b). Le Tribunal fédéral a encore précisé qu'il n'y avait « aucun motif matériel » de nier la compétence territoriale suisse en pareille situation, tout en soulignant qu'il n'en allait pas nécessairement de même lorsque les propos diffamatoires étaient tenus dans les médias de masse étrangers (ATF 125 IV 177 consid. 3b). Au regard de la jurisprudence qui précède, la doctrine constate que, tant que le contenu est diffusé de façon ciblée et individuelle, par exemple par l'entremise d'un courriel adressé à une ou plusieurs personnes déterminées, la reconnaissance d'un rattachement territorial fondé sur le lieu de survenance du résultat ne suscite guère d'objection (Dupuis et al., Code pénal, Petit commentaire, 2e éd. 2017, n° 19 ad art. 8 CP et les références citées ; Dyens, op. cit., n° 687 pp. 212 s ; TF 6B_313/2023 du 23 octobre 2023 consid. 4.1.2).</w:t>
      </w:r>
    </w:p>
    <w:p>
      <w:r>
        <w:rPr>
          <w:b/>
        </w:rPr>
        <w:t>E. 2.2</w:t>
      </w:r>
    </w:p>
    <w:p>
      <w:r>
        <w:t>En l’espèce, les propos litigieux que la recourante attribue à S.________ auraient été tenus dans le cadre de la procédure civile engagée devant les autorités anglaises. Ainsi, ils auraient été prononcés depuis la Serbie, où S.________ réside, et auraient été diffusés de façon ciblée aux membres du tribunal qui connaît de cette cause, situés en Angleterre. Il convient donc de rejoindre le Ministère public et constater qu’il n’existe effectivement pas de rattachement en Suisse.</w:t>
      </w:r>
    </w:p>
    <w:p>
      <w:r>
        <w:rPr>
          <w:b/>
        </w:rPr>
        <w:t>E. 3</w:t>
      </w:r>
    </w:p>
    <w:p>
      <w:r>
        <w:t>Au vu de ce qui précède, le recours d’O.________ doit être rejeté dans la mesure où il est recevable, sans échange d’écritures (art. 390 al. 2 CPP). L’ordonnance entreprise doit être confirmée. Les frais de procédure de recours, constitués en l’espèce du seul émolument d’arrêt, par 770 fr. (art. 20 al. 1 TFIP [tarif des frais de procédure et indemnités en matière pénale du 28 septembre 2010 ; BLV 312.03.1]), seront mis à la charge d’O.________, qui succombe (art. 428 al. 1 CPP). Ces frais seront compensés avec le montant de 770 fr. déjà versé par le recourant à titre de sûretés (art. 383 al. 1 CPP ; art. 7 TFIP).</w:t>
      </w:r>
    </w:p>
    <w:p>
      <w:r>
        <w:t>- 8 - Par ces motifs, la Chambre des recours pénale prononce : I. Le recours est rejeté dans la mesure où il est recevable. II. L’ordonnance du 6 janvier 2025 est confirmée. III. Les frais d’arrêt, par 770 fr. (sept cent septante francs), sont mis à la charge d’O.________. IV. Les frais mis à la charge d’O.________ au chiffre III ci-dessus sont compensés avec le montant de 770 fr. (sept cent septante francs) déjà versé par celle-ci à titre de sûretés. V. L’arrêt est exécutoire. Le président : Le greffier : Du Le présent arrêt, dont la rédaction a été approuvée à huis clos, est notifié, par l'envoi d'une copie complète, à : - O.________,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