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PE24.024220 vom 2. Juni 2025</w:t>
      </w:r>
    </w:p>
    <w:p>
      <w:r>
        <w:t>VD Tribunal cantonal, 2025-06-02, FR</w:t>
      </w:r>
    </w:p>
    <w:p>
      <w:r>
        <w:rPr>
          <w:b/>
        </w:rPr>
        <w:t xml:space="preserve">Quelle: </w:t>
      </w:r>
      <w:r>
        <w:t>https://mcp.opencaselaw.ch/entscheid/vd_gerichte_PE24.024220</w:t>
      </w:r>
    </w:p>
    <w:p>
      <w:r>
        <w:t>FR: VD_GERICHTE PE24.024220 du 2 juin 2025</w:t>
      </w:r>
    </w:p>
    <w:p>
      <w:r>
        <w:t>IT: VD_GERICHTE PE24.024220 del 2 giugno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dans le délai légal auprès de l’autorité compétente par la partie plaignante qui a qualité pour recourir (art. 382 al. 1 CPP). Dans cette mesure, il apparait recevable.</w:t>
      </w:r>
    </w:p>
    <w:p>
      <w:r>
        <w:rPr>
          <w:b/>
        </w:rPr>
        <w:t>E. 2.1</w:t>
      </w:r>
    </w:p>
    <w:p>
      <w:r>
        <w:t>La recourante fait valoir que la diffamation ne consisterait pas en la divulgation de l’existence d’une procédure judiciaire, comme retenu par le Ministère public, mais dans l’allégation – fausse – de B.________ faite à R.________ selon laquelle Y.________ aurait rendu une décision défavorable à l’encontre de la recourante. Une telle déclaration serait diffamatoire car il s’agirait d’une « allégation de culpabilité pour faute », laissant entendre que la personne en question était coupable d’une infraction. Par ailleurs, elle soutient que l’infraction de gestion déloyale s’appliquerait à B.________ en sa qualité de conseillère juridique mandatée par Y.________, dans la mesure où celle-ci aurait porté atteinte aux intérêts de cette institution, qui incluraient la protection des droits et de la personnalité de la recourante « en vertu de l’art. 38 de la loi fédérale complétant le Code civil suisse ». De même, les divulgations trompeuses de B.________ auraient pour conséquence d’augmenter les frais de la procédure pendante au Royaume-Uni, ce qui violerait les obligations financières de cette dernière consistant à minimiser les pertes financières</w:t>
      </w:r>
    </w:p>
    <w:p>
      <w:r>
        <w:t>- 7 - de Y.________ « en vertu de l’art. 48 OPers-EPF ». Cette situation devrait également contribuer à retenir les infractions d’abus d’autorité et de gestion déloyale des intérêts publics. En outre, la recourant conteste l’absence de violation d’un secret. Selon elle, comme S.________ et R.________ n’étaient pas parties à la procédure administrative, ils n’avaient aucun moyen d’accéder légalement aux documents confidentiels internes, y compris la « lettre de décision », et il y aurait donc bien eu une divulgation illégale par B.________. Celle-ci serait au demeurant « l’avocate et la défenseure légale de Y.________ » et serait ainsi tenue au secret professionnel. Quant au secret de fonction, l’accès à des documents « concernant exclusivement des procédures disciplinaires sur des allégations de faute » constituerait une violation flagrante de la vie privée de la recourante. Ce serait donc à tort que le Ministère public n’a pas retenu une violation du secret de fonction et du secret professionnel. Enfin, la recourante reproche au Ministère public de ne pas avoir envisagé la violation du traitement de données personnelles selon les art. 7 à 9 LPD (loi fédérale du 25 septembre 2020 sur la protection des données ; RS 235.1) et la protection de la personnalité qui y est associée, en précisant que ses droits à cet égard seraient protégés par les art. 13 Cst. (Constitution fédérale de la Confédération suisse du 18 avril 1999 ; RS 101) et 8 CEDH (Convention du 4 novembre 1950 de sauvegarde des droits de l’homme et des libertés fondamentales ; RS 0.101).</w:t>
      </w:r>
    </w:p>
    <w:p>
      <w:r>
        <w:rPr>
          <w:b/>
        </w:rPr>
        <w:t>E. 2.2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w:t>
      </w:r>
    </w:p>
    <w:p>
      <w:r>
        <w:t>- 8 - considérants de la décision attaquée, quels motifs commandent – sous l’angle du fait et du droit – de prendre une autre décision (cf. TF 7B_51/2024 du 25 avril 2024 consid. 2.2.2 ; TF 6B_1447/2022 du 14 mars 2023 consid. 1.1 et les réf. cit.).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consid. 1.1 ; CREP 22 novembre 2024/849 consid. 1.1 ; CREP 8 avril 2024/262 consid. 1.3).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7B_51/2024 précité consid. 2.2.2 ; TF 6B_1447/2022 précité consid. 1.1).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consid. 1.1).</w:t>
      </w:r>
    </w:p>
    <w:p>
      <w:r>
        <w:rPr>
          <w:b/>
        </w:rPr>
        <w:t>E. 2.3</w:t>
      </w:r>
    </w:p>
    <w:p>
      <w:r>
        <w:t>En l’espèce, en ce qui concerne la diffamation, respectivement la calomnie, à l’instar de la plainte elle-même, la motivation du recours ne permet pas de comprendre quels propos la recourante considère comme attentatoires à son honneur. Si on la comprend bien, il ressortirait de l’audition de R.________ devant les autorités britanniques – qui ne figure au dossier qu’en version anglaise – qu’il aurait appris par le biais de</w:t>
      </w:r>
    </w:p>
    <w:p>
      <w:r>
        <w:t>- 9 - B.________ que Y.________ aurait rendu une décision défavorable à son encontre, en rejetant sa plainte. On ne sait ni ce que B.________ aurait dit précisément, ni quand ces propos auraient été tenus, ni quels documents auraient été transmis et à qui. Partant, le recours ne remplit pas sur ce point les exigences de motivation susmentionnées (consid. 2.2) et doit être déclaré irrecevable. En ce qui concerne les infractions de gestion déloyale et de gestion déloyale des intérêts publics, la recourante se livre à un raisonnement alambiqué, selon lequel les intérêts de Y.________ auraient été touchés par les agissements qu’elle reproche à B.________. Là encore, le recours ne comporte aucun élément concret permettant d’admettre ou même de supposer que B.________, conseillère juridique senior auprès de l’institution, était directement investie d’un mandat officiel de gestion ou de surveillance de la gestion des intérêts pécuniaires de Y.________ et qu’elle aurait porté atteinte, en violation de ses devoirs, aux intérêts pécuniaires de celle-ci. Partant, le recours est également irrecevable en tant qu’il porte sur ces deux infractions. Par surabondance, la recourante n’étant pas susceptible d’être directement lésée par le soi-disant préjudice causé à Y.________ et ne pouvant pas faire valoir un intérêt juridiquement protégé (voir à cet égard CREP 7 mars 2025/176 consid. 7.2, CREP 8 mai 2018/331 consid. 3.3), elle n’aurait quoi qu’il en soit pas la qualité pour agir à cet égard devant l’autorité de céans. Quant aux chefs de prévention de violation du secret de fonction et de violation du secret professionnel, le recours souffre derechef d’un défaut de motivation, la recourante ne cherchant pas même à démontrer que les éléments constitutifs de ces infractions seraient réunies. Le recours doit donc également être déclaré irrecevable sous l’angle de ces infractions. A toutes fins utiles, on relèvera que, comme souligné par le Ministère public, la violation du secret professionnel n’entre pas en ligne de compte car la prévenue n’exerçait pas l’une des professions énumérées à l’art. 321 CP. Quant à la violation du secret professionnel, S.________ était à l’origine de l’ouverture de la procédure administrative ; R.________ avait quant a lui été chargé de trouver un</w:t>
      </w:r>
    </w:p>
    <w:p>
      <w:r>
        <w:t>- 10 - accord amiable entre les parties, puis été auditionné dans le cadre de l’enquête administrative. Tous deux avaient donc connaissance de la procédure interne et y étaient intimement liés. On ne voit donc pas en quoi une information relevant d’un aspect procédural lié à ladite procédure relèverait du secret protégé par la disposition pénale, ni en quoi elle aurait été communiquée à un tiers ne faisant pas partie du cercle des personnes autorisées. Enfin, la recourante invoque les infractions d’« abus de pouvoir », de « violation du traitement de données personnelles selon les art. 7 à 9 LPD » et la « protection de la personnalité qui y est associée », en précisant que ses droits à cet égard seraient protégés par les art. 13 Cst. et 8 CEDH. Une nouvelle fois, c’est insuffisant au niveau de la motivation, un recourant ne pouvant se contenter de se prévaloir pêle- mêle et de manière générale de violation de ses droits fondamentaux ou de dispositions légales sans démonstration concrète. Ces moyens sont dès lors également irrecevables, faute de satisfaire aux exigences de motivation de l’art. 385 al. 1 CPP.</w:t>
      </w:r>
    </w:p>
    <w:p>
      <w:r>
        <w:rPr>
          <w:b/>
        </w:rPr>
        <w:t>E. 3</w:t>
      </w:r>
    </w:p>
    <w:p>
      <w:r>
        <w:t>En définitive, le recours doit être déclaré irrecevable, sans échange d’écritures (art. 390 al. 2 CPP). Les frais de la procédure de recours, constitués en l’espèce du seul émolument d’arrêt (art. 422 al. 1 CPP), par 1’100 fr. (art. 20 al. 1 TFIP [tarif des frais de procédure et indemnités en matière pénale du 28 septembre 2010 ; BLV 312.03.1]), seront mis à la charge de la recourante, qui doit être considérée comme ayant succombé (art. 428 al. 1 CPP). L’avance de frais de 770 fr. versée par la recourante est imputée sur les frais mis à sa charge, le solde dû par celle-ci à l’Etat s’élevant à 330 francs.</w:t>
      </w:r>
    </w:p>
    <w:p>
      <w:r>
        <w:t>- 11 - Par ces motifs, la Chambre des recours pénale prononce : I. Le recours est irrecevable. II. Les frais d’arrêt, par 1’100 fr. (mille cent francs), sont mis à la charge d’X.________. III. L’avance de frais de 770 fr. (sept cent septante francs) versée par la recourante est imputée sur les frais mis à sa charge au chiffre II ci-dessus, le solde dû par la recourante à l’Etat s’élevant à 330 fr. (trois cent trente francs). IV. L’arrêt est exécutoire. Le président : La greffière : Du Le présent arrêt, dont la rédaction a été approuvée à huis clos, est notifié, par l'envoi d'une copie complète, à : - Mme X.________, - Ministère public central, et communiqué à : - Mme la Procureure de l’arrondissement de La Côte,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