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PE24.024172 vom 4. April 2025</w:t>
      </w:r>
    </w:p>
    <w:p>
      <w:r>
        <w:t>VD Tribunal cantonal, 2025-04-04, FR</w:t>
      </w:r>
    </w:p>
    <w:p>
      <w:r>
        <w:rPr>
          <w:b/>
        </w:rPr>
        <w:t xml:space="preserve">Quelle: </w:t>
      </w:r>
      <w:r>
        <w:t>https://mcp.opencaselaw.ch/entscheid/vd_gerichte_PE24.024172</w:t>
      </w:r>
    </w:p>
    <w:p>
      <w:r>
        <w:t>FR: VD_GERICHTE PE24.024172 du 4 avril 2025</w:t>
      </w:r>
    </w:p>
    <w:p>
      <w:r>
        <w:t>IT: VD_GERICHTE PE24.024172 del 4 aprile 2025</w:t>
      </w:r>
    </w:p>
    <w:p>
      <w:pPr>
        <w:pStyle w:val="Heading2"/>
      </w:pPr>
      <w:r>
        <w:t>Erwägungen</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ATF 143 IV 241 consid. 2.2.1 ; TF 7B_107/2023 du 20 novembre 2024 consid. 2.1.2).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 IV 86 précité consid. 4.1.2 ; ATF 137 IV 285 consid. 2.3 et les références citées, JdT 2012 IV 160). Face à des versions contradictoires des parties, il peut être exceptionnellement renoncé à une mise en accusation lorsqu'il n'est pas possible d'apprécier l'une ou l'autre version comme étant plus ou</w:t>
      </w:r>
    </w:p>
    <w:p>
      <w:r>
        <w:t>- 6 - moins plausible et qu'aucun résultat n'est à escompter d'autres moyens de preuve (TF 7B_889/2023 du 20 février 2025 consid. 4.2.1).</w:t>
      </w:r>
    </w:p>
    <w:p>
      <w:r>
        <w:rPr>
          <w:b/>
        </w:rPr>
        <w:t>E. 2.1</w:t>
      </w:r>
    </w:p>
    <w:p>
      <w:r>
        <w:t>La recourante soutient que la version des faits livrée par X.________ serait erronée. Elle conteste en particulier le fait que ce dernier aurait d’abord frappé à la porte avec sa clé. Elle affirme que sa surdité de l’oreille droite ne l’aurait nullement empêchée d’entendre un bruit de clé strident et soutient qu’il serait d’ailleurs contradictoire d’affirmer qu’elle n’aurait pas entendu un bruit propre à « réveiller les morts » mais aurait ensuite été capable de percevoir la voix du contrôleur à travers la cloison lorsqu’il lui avait demandé son billet. Elle réaffirme en outre que X.________ ne l’aurait finalement pas contrôlée et qu’il ment lorsqu’il explique avoir eu en main son abonnement. Elle souligne que l’abonnement qu’elle détient ne serait d’ailleurs pas valable dans la zone en question et qu’elle voyageait donc avec un titre de transport ordinaire. Il serait ainsi impossible que son abonnement apparaisse sur la tablette de travail de X.________. Elle se prévaut également du témoignage de R.________ qui affirme qu’ils avaient bien eu une discussion alors qu’elle était encore assise sur les toilettes et que la porte était grande ouverte. Elle conclut en soutenant que X.________ se serait rendu coupable d’abus d’autorité et de faux témoignage.</w:t>
      </w:r>
    </w:p>
    <w:p>
      <w:r>
        <w:rPr>
          <w:b/>
        </w:rPr>
        <w:t>E. 2.2</w:t>
      </w:r>
    </w:p>
    <w:p>
      <w:r>
        <w:t>- 5 -</w:t>
      </w:r>
    </w:p>
    <w:p>
      <w:r>
        <w:rPr>
          <w:b/>
        </w:rPr>
        <w:t>E. 2.2.1</w:t>
      </w:r>
    </w:p>
    <w:p>
      <w:r>
        <w:t>Aux termes de l’art. 309 al. 1 let. a CPP, le Ministère public ouvre une instruction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Aux termes de l'art. 312 CP, se rendent coupables d’abus d’autorité et sont punis d’une peine privative de liberté de cinq ans au plus ou d’une peine pécuniaire, les membres d’une autorité et les fonctionnaires qui, dans le dessein de se procurer ou de procurer à un tiers un avantage illicite, ou dans le dessein de nuire à autrui, abusent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149 IV 128 consid. 1.3.1 ; TF 7B_118/2023 du 6 janvier 2025 consid. 4.2). L’abus de pouvoir ne peut en principe pas être commis par omission (art. 11 CP), puisqu’il est difficile d’exercer un acte de puissance publique en restant passif (Dupuis et al., Petit commentaire du Code pénal, 2e éd., Bâle 2017, n. 20 ad art. 312 CP). L’exercice de la puissance publique vise deux hypothèses : l’acte de disposition de droit public (« Verfügung ») et l’acte matériel de contrainte (« Zwang ») (Dupuis et al., op. cit., n. 10 ad art. 312 CP et les références citées). La simple violation des devoirs de service, même sanctionnée par l’autorité supérieure ou de recours, ne suffit pas pour considérer qu’il existe un abus ; il doit s’agir d’une violation insoutenable des règles applicables (Dupuis et al., op. cit.,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 TF 7B_118/2023).</w:t>
      </w:r>
    </w:p>
    <w:p>
      <w:r>
        <w:t>- 7 -</w:t>
      </w:r>
    </w:p>
    <w:p>
      <w:r>
        <w:rPr>
          <w:b/>
        </w:rPr>
        <w:t>E. 2.2.3</w:t>
      </w:r>
    </w:p>
    <w:p>
      <w:r>
        <w:t>Aux termes de l’art. 198 aCP – continuant de trouver application dans la mesure où sa version entrée en vigueur au 1er juillet 2024 n’est pas plus favorable au prévenu (art. 2 CP ; RO 2024 p. 27) –, se rend coupable de désagréments causés par la confrontation à un acte d’ordre sexuel et puni, sur plainte, d’une amende, celui qui aura causé du scandale en se livrant à un acte d’ordre sexuel en présence d’une personne qui aura été inopinément confrontée (al. 1) ou celui qui aura importunité une personne par des attouchements d’ordre sexuel ou par des paroles grossières (al. 2). L’infraction requiert l’intention de l’auteur. Le dol éventuel suffit (Dupuis et al., op. cit., n. 17 ad art. 198 CP et les références citées).</w:t>
      </w:r>
    </w:p>
    <w:p>
      <w:r>
        <w:rPr>
          <w:b/>
        </w:rPr>
        <w:t>E. 2.3</w:t>
      </w:r>
    </w:p>
    <w:p>
      <w:r>
        <w:t>En l’espèce, il est vrai qu’entendu par la police le 27 septembre 2024, X.________ a contesté les accusations portées contre lui par la recourante. Il a, en particulier, expliqué qu’il avait vu des toilettes fermées et avait attendu environ cinq minutes avant de frapper à deux reprises contre la porte avec sa clé – ce qui faisait un bruit qui « réveille les morts » – sans toutefois obtenir de réponse. Il avait donc ouvert la porte et surpris la recourante qui était assise sur les toilettes. Il avait alors immédiatement refermé la porte et lui avait ensuite demandé son titre de transport à travers la cloison. Environ 10 à 20 secondes plus tard, la recourante lui avait tendu son abonnement [...] en passant son bras par l’entrebâillement de la porte des toilettes. Il avait scanné cet abonnement qu’elle avait gardé dans la main ensuite de quoi elle avait refermé la porte. Il avait ensuite attendu deux à trois minutes avant qu’elle sorte et lui avait fait la morale en précisant que la prochaine fois, elle devait répondre lorsque quelqu’un lui demandait si les toilettes étaient occupées. Il a, par ailleurs, affirmé qu’il n’avait par la suite pas revu la recourante et son amie et ignorait où elles étaient descendues (cf. PV aud. 3). Cette version n’a en soi rien de contradictoire. On doit toutefois constater que X.________ n’est guère crédible lorsqu’il affirme ne plus avoir revu la recourante et son amie, suite à l’incident, dans la</w:t>
      </w:r>
    </w:p>
    <w:p>
      <w:r>
        <w:t>- 8 - mesure où cette dernière l’a photographié sur le quai de la gare de [...] et que le cliché démontre qu’il s’en est clairement rendu compte (cf. annexe PV aud. 1). Son récit est en outre contredit par le témoignage de R.________ qui a notamment indiqué que X.________ avait ouvert la porte des toilettes, regardé devant lui et qu’il lui avait fallu plusieurs minutes avant de la refermer. Le témoin a, par ailleurs, précisé que lorsque la recourante était revenue des toilettes, elle lui avait expliqué en détail ce qui s’était passé – en précisant que son récit correspondait exactement au contenu de la plainte qui lui a alors été lue par la police – et qu’elle était très mal à l’aise (cf. PV aud. 2). Ces différents éléments accréditent la version – par ailleurs claire, précise et détaillée – de la recourante et devait conduire le Ministère public à ouvrir une instruction pénale contre X.________ pour avoir, le [...] mars 2024, dans un train circulant entre [...], en sa qualité de contrôleur [...], ouvert la porte des toilettes dans lesquelles se trouvait Y.________ et l’avoir longuement regardée avec insistance alors qu’elle était assise sur la cuvette, culotte et pantalon baissés. Un tel comportement est susceptible de tomber sous le coup, si ce n’est de l’infraction de désagréments d'ordre sexuel au sens de l’art. 198 aCP, à tout le moins de celle d’abus d’autorité au sens de l’art. 312 CP. Il appartiendra donc au procureur de procéder notamment à l’audition, voire à la confrontation de la recourante et de X.________, et de par ailleurs instruire la question du contrôle du titre de transport de la recourante qui est de nature à accréditer l’une ou l’autre des versions des parties.</w:t>
      </w:r>
    </w:p>
    <w:p>
      <w:r>
        <w:rPr>
          <w:b/>
        </w:rPr>
        <w:t>E. 3</w:t>
      </w:r>
    </w:p>
    <w:p>
      <w:r>
        <w:t>En définitive, le recours doit être admis, l’ordonnance contestée annulée et le dossier de la cause renvoyé au Ministère public pour qu’il procède dans le sens des considérants. L’autorité de céans n’a pas notifié le mémoire de recours à X.________ et ne lui a pas imparti de délai pour se prononcer au sens de l’art. 390 al. 2 CPP dès lors qu’il n’est pas partie à la procédure et qu’il pourra faire valoir ses arguments dans le cadre de l’instruction à intervenir (cf. TF 6B_912/2020 du 17 septembre 2020 consid. 1.4). Dans la mesure</w:t>
      </w:r>
    </w:p>
    <w:p>
      <w:r>
        <w:t>- 9 - où l’ordonnance de non-entrée en matière lui a – à tort – été communiquée, le présent arrêt le sera également. Vu l’admission du recours, les frais de la procédure, constitués du seul émolument d’arrêt, par 880 fr. (art. 20 al. 1 TFIP [tarif des frais de procédure et indemnités en matière pénale du 28 septembre 2010 ; BLV 312.03.1]), seront laissés à la charge de l’Etat (art. 428 al. 4 CPP). Le montant de 770 fr. versé par la partie plaignante à titre de sûretés lui sera restitué (art. 7 TFIP). Par ces motifs, la Chambre des recours pénale prononce : I. Le recours est admis. II. L’ordonnance du 15 novembre 2024 est annulée. III. Le dossier de la cause est renvoyée au Ministère public de l’arrondissement de l’Est vaudois pour qu’il procède dans le sens des considérants. IV. Les frais d’arrêt, par 880 fr. (huit cent huitante francs) sont laissés à la charge de l’Etat. V. Le montant de 770 fr. (sept cent septante francs) versé par Y.________ à titre de sûretés lui est restitué. VI. L’arrêt est exécutoire. Le président : La greffière : Du Le présent arrêt, dont la rédaction a été approuvée à huis clos, est notifié, par l'envoi d'une copie complète, à : - Y.________, - Ministère public central,</w:t>
      </w:r>
    </w:p>
    <w:p>
      <w:r>
        <w:t>- 10 - et communiqué à : - M. le Procureur de l’arrondissement de l’Est vaudois, - Me Bertrand Gygax, avocat (pour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